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C9F17" w14:textId="68D184EF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372AE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10726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672067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="00B04A03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9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C9620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="0036727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.2024 for </w:t>
      </w:r>
      <w:r w:rsidR="00372AE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Lok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Sabha regarding “</w:t>
      </w:r>
      <w:r w:rsidR="00C061C5" w:rsidRPr="00C061C5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Growth of Bioenergy Sector in Relation to Ethanol Blending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49800E12" w14:textId="7777777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A8A4C6" w14:textId="7A2BCAC3" w:rsidR="003926C7" w:rsidRPr="00D2778E" w:rsidRDefault="003926C7" w:rsidP="003926C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 w:rsidR="009F0C3D">
        <w:rPr>
          <w:rFonts w:ascii="Calibri" w:eastAsia="Times New Roman" w:hAnsi="Calibri" w:cs="Calibri"/>
          <w:b/>
          <w:color w:val="000000"/>
          <w:sz w:val="24"/>
          <w:szCs w:val="24"/>
        </w:rPr>
        <w:t>a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044C78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policies and incentives provided by the Government to further accelerate </w:t>
      </w:r>
      <w:r w:rsidR="00777AA1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growth of bioenergy sector, particularly in relation to ethanol </w:t>
      </w:r>
      <w:r w:rsidR="005E629F">
        <w:rPr>
          <w:rFonts w:ascii="Calibri" w:hAnsi="Calibri" w:cs="Calibri"/>
          <w:b/>
          <w:color w:val="000000" w:themeColor="text1"/>
          <w:sz w:val="24"/>
          <w:szCs w:val="24"/>
        </w:rPr>
        <w:t>blending targets set for 2025</w:t>
      </w:r>
      <w:r w:rsidR="009F0C3D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7237F7B5" w14:textId="57DF9B24" w:rsidR="00EA5052" w:rsidRDefault="00FB1F0F" w:rsidP="00EA505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A5052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350C448D" w14:textId="764F620D" w:rsidR="00514053" w:rsidRPr="00514053" w:rsidRDefault="009B4EA0" w:rsidP="00514053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[</w:t>
      </w:r>
      <w:r w:rsidR="00514053" w:rsidRPr="00514053">
        <w:rPr>
          <w:rFonts w:ascii="Calibri" w:hAnsi="Calibri" w:cs="Calibri"/>
          <w:bCs/>
          <w:sz w:val="24"/>
          <w:szCs w:val="24"/>
        </w:rPr>
        <w:t>NRL is executing a 2G bio-refinery project in the state of Assam through its Joint Venture Company Assam Bio-</w:t>
      </w:r>
      <w:r w:rsidR="000530EB">
        <w:rPr>
          <w:rFonts w:ascii="Calibri" w:hAnsi="Calibri" w:cs="Calibri"/>
          <w:bCs/>
          <w:sz w:val="24"/>
          <w:szCs w:val="24"/>
        </w:rPr>
        <w:t>Ethanol</w:t>
      </w:r>
      <w:r w:rsidR="00514053" w:rsidRPr="00514053">
        <w:rPr>
          <w:rFonts w:ascii="Calibri" w:hAnsi="Calibri" w:cs="Calibri"/>
          <w:bCs/>
          <w:sz w:val="24"/>
          <w:szCs w:val="24"/>
        </w:rPr>
        <w:t xml:space="preserve"> Pvt. Limited (AB</w:t>
      </w:r>
      <w:r w:rsidR="000530EB">
        <w:rPr>
          <w:rFonts w:ascii="Calibri" w:hAnsi="Calibri" w:cs="Calibri"/>
          <w:bCs/>
          <w:sz w:val="24"/>
          <w:szCs w:val="24"/>
        </w:rPr>
        <w:t>E</w:t>
      </w:r>
      <w:r w:rsidR="00514053" w:rsidRPr="00514053">
        <w:rPr>
          <w:rFonts w:ascii="Calibri" w:hAnsi="Calibri" w:cs="Calibri"/>
          <w:bCs/>
          <w:sz w:val="24"/>
          <w:szCs w:val="24"/>
        </w:rPr>
        <w:t>PL).  NRL owns 50% share in the JV company – AB</w:t>
      </w:r>
      <w:r w:rsidR="00000210">
        <w:rPr>
          <w:rFonts w:ascii="Calibri" w:hAnsi="Calibri" w:cs="Calibri"/>
          <w:bCs/>
          <w:sz w:val="24"/>
          <w:szCs w:val="24"/>
        </w:rPr>
        <w:t>E</w:t>
      </w:r>
      <w:r w:rsidR="00514053" w:rsidRPr="00514053">
        <w:rPr>
          <w:rFonts w:ascii="Calibri" w:hAnsi="Calibri" w:cs="Calibri"/>
          <w:bCs/>
          <w:sz w:val="24"/>
          <w:szCs w:val="24"/>
        </w:rPr>
        <w:t xml:space="preserve">PL and remaining 50% equity is shared between two Finnish companies viz. M/s Fortum BV3 of Netherland and M/s Chempolis Oy of Finland. </w:t>
      </w:r>
      <w:r w:rsidR="004C1B23" w:rsidRPr="00853FBD">
        <w:rPr>
          <w:rFonts w:ascii="Calibri" w:hAnsi="Calibri" w:cs="Calibri"/>
          <w:iCs/>
          <w:kern w:val="0"/>
          <w:sz w:val="24"/>
          <w:szCs w:val="24"/>
          <w14:ligatures w14:val="none"/>
        </w:rPr>
        <w:t>The project is being supported under Pradhan Mantri JI-VAN yojana</w:t>
      </w:r>
      <w:r w:rsidR="001021A6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. </w:t>
      </w:r>
      <w:r w:rsidR="001021A6" w:rsidRPr="00FD1A4C">
        <w:rPr>
          <w:rFonts w:ascii="Calibri" w:hAnsi="Calibri" w:cs="Calibri"/>
          <w:bCs/>
          <w:color w:val="000000" w:themeColor="text1"/>
          <w:sz w:val="24"/>
          <w:szCs w:val="24"/>
        </w:rPr>
        <w:t>Under Pradhan Mantri JI-VAN yojana, a grant of Rs. 150 Crores has been sanctioned for the project by Central Govt.</w:t>
      </w:r>
      <w:r w:rsidR="001021A6">
        <w:rPr>
          <w:rFonts w:ascii="Calibri" w:hAnsi="Calibri" w:cs="Calibri"/>
          <w:bCs/>
          <w:color w:val="000000" w:themeColor="text1"/>
          <w:sz w:val="24"/>
          <w:szCs w:val="24"/>
        </w:rPr>
        <w:t>]</w:t>
      </w:r>
    </w:p>
    <w:p w14:paraId="2738CD3A" w14:textId="77777777" w:rsidR="003F1C76" w:rsidRPr="00A77C3D" w:rsidRDefault="003F1C76" w:rsidP="009B4EA0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sz w:val="24"/>
          <w:szCs w:val="24"/>
        </w:rPr>
      </w:pPr>
    </w:p>
    <w:p w14:paraId="6AB94C3C" w14:textId="74471BCD" w:rsidR="00512C56" w:rsidRDefault="008B2B97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b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5E629F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measures undertaken by the Government </w:t>
      </w:r>
      <w:r w:rsidR="00FD5990">
        <w:rPr>
          <w:rFonts w:ascii="Calibri" w:hAnsi="Calibri" w:cs="Calibri"/>
          <w:b/>
          <w:color w:val="000000" w:themeColor="text1"/>
          <w:sz w:val="24"/>
          <w:szCs w:val="24"/>
        </w:rPr>
        <w:t xml:space="preserve">of India to engage and educate farmers and local communities about the </w:t>
      </w:r>
      <w:r w:rsidR="00D93AFD">
        <w:rPr>
          <w:rFonts w:ascii="Calibri" w:hAnsi="Calibri" w:cs="Calibri"/>
          <w:b/>
          <w:color w:val="000000" w:themeColor="text1"/>
          <w:sz w:val="24"/>
          <w:szCs w:val="24"/>
        </w:rPr>
        <w:t>benefits of transitioning to bio energy, and how will their participation be facilitated in this transformation</w:t>
      </w:r>
      <w:r w:rsidR="006E6B1C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0D457DC8" w14:textId="77777777" w:rsidR="008B2B97" w:rsidRDefault="008B2B97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58372598" w14:textId="1713C109" w:rsidR="00512C56" w:rsidRDefault="00FD565D" w:rsidP="008218A0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FD565D">
        <w:rPr>
          <w:rFonts w:ascii="Calibri" w:hAnsi="Calibri" w:cs="Calibri"/>
          <w:bCs/>
          <w:color w:val="000000" w:themeColor="text1"/>
          <w:sz w:val="24"/>
          <w:szCs w:val="24"/>
        </w:rPr>
        <w:t>[</w:t>
      </w:r>
      <w:r w:rsidR="008218A0" w:rsidRPr="008218A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The bio-refinery project aims to reduce greenhouse gas emissions, decrease crude oil import dependency, save foreign exchange, provide income to marginal farmers, and create local employment. </w:t>
      </w:r>
      <w:r w:rsidR="008218A0">
        <w:rPr>
          <w:rFonts w:ascii="Calibri" w:hAnsi="Calibri" w:cs="Calibri"/>
          <w:bCs/>
          <w:color w:val="000000" w:themeColor="text1"/>
          <w:sz w:val="24"/>
          <w:szCs w:val="24"/>
        </w:rPr>
        <w:t>The</w:t>
      </w:r>
      <w:r w:rsidR="008218A0" w:rsidRPr="008218A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2G bio-refinery in Northeast India will utilize the region's abundant bamboo, offering income opportunities for farmers and jobs in bamboo handling. ABEPL is securing long-term bamboo supply agreements with growers and developing bamboo-rich clusters near the project. Over 50 small-scale chipping units involving local entrepreneurs will be established for processing and storage. The model emphasizes direct procurement to protect farmers from middlemen and employs a digital supply chain for transparency and efficiency.</w:t>
      </w:r>
      <w:r w:rsidR="008218A0">
        <w:rPr>
          <w:rFonts w:ascii="Calibri" w:hAnsi="Calibri" w:cs="Calibri"/>
          <w:bCs/>
          <w:color w:val="000000" w:themeColor="text1"/>
          <w:sz w:val="24"/>
          <w:szCs w:val="24"/>
        </w:rPr>
        <w:t>]</w:t>
      </w:r>
    </w:p>
    <w:p w14:paraId="5D6DC96D" w14:textId="77777777" w:rsidR="008218A0" w:rsidRDefault="008218A0" w:rsidP="008218A0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14C0F523" w14:textId="6A401402" w:rsidR="00512C56" w:rsidRDefault="00512C56" w:rsidP="00512C5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c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F7461C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aims and objectives of the scheme being formulated by the Government to enact </w:t>
      </w:r>
      <w:r w:rsidR="006563C9">
        <w:rPr>
          <w:rFonts w:ascii="Calibri" w:hAnsi="Calibri" w:cs="Calibri"/>
          <w:b/>
          <w:color w:val="000000" w:themeColor="text1"/>
          <w:sz w:val="24"/>
          <w:szCs w:val="24"/>
        </w:rPr>
        <w:t>a new legislation in respect of offshore oil exploration</w:t>
      </w:r>
      <w:r w:rsidR="00233436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r w:rsidR="006563C9">
        <w:rPr>
          <w:rFonts w:ascii="Calibri" w:hAnsi="Calibri" w:cs="Calibri"/>
          <w:b/>
          <w:color w:val="000000" w:themeColor="text1"/>
          <w:sz w:val="24"/>
          <w:szCs w:val="24"/>
        </w:rPr>
        <w:t xml:space="preserve"> and</w:t>
      </w:r>
    </w:p>
    <w:p w14:paraId="15DA32B3" w14:textId="3A8962A5" w:rsidR="00D34DC9" w:rsidRDefault="00512C56" w:rsidP="00EE393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14759B9" w14:textId="77777777" w:rsidR="00F3677B" w:rsidRDefault="00F3677B" w:rsidP="00F3677B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AB16BD5" w14:textId="0F42808D" w:rsidR="00826DAF" w:rsidRPr="00D2778E" w:rsidRDefault="00826DAF" w:rsidP="00826DAF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 w:rsidR="00233436">
        <w:rPr>
          <w:rFonts w:ascii="Calibri" w:eastAsia="Times New Roman" w:hAnsi="Calibri" w:cs="Calibri"/>
          <w:b/>
          <w:color w:val="000000"/>
          <w:sz w:val="24"/>
          <w:szCs w:val="24"/>
        </w:rPr>
        <w:t>d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3B50CD">
        <w:rPr>
          <w:rFonts w:ascii="Calibri" w:eastAsia="Times New Roman" w:hAnsi="Calibri" w:cs="Calibri"/>
          <w:b/>
          <w:color w:val="000000"/>
          <w:sz w:val="24"/>
          <w:szCs w:val="24"/>
        </w:rPr>
        <w:t>the manner in which this new legislation is likely to affect such sectors which were previously designated as no</w:t>
      </w:r>
      <w:r w:rsidR="0025395F">
        <w:rPr>
          <w:rFonts w:ascii="Calibri" w:eastAsia="Times New Roman" w:hAnsi="Calibri" w:cs="Calibri"/>
          <w:b/>
          <w:color w:val="000000"/>
          <w:sz w:val="24"/>
          <w:szCs w:val="24"/>
        </w:rPr>
        <w:t>-go zones for oil exploration?</w:t>
      </w:r>
      <w:r w:rsidR="00E0291A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</w:p>
    <w:p w14:paraId="4718812C" w14:textId="005B44F9" w:rsidR="00B15AC6" w:rsidRPr="00EE3936" w:rsidRDefault="00826DAF" w:rsidP="00EE393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2B2EFC4E" w14:textId="77777777" w:rsidR="00B15AC6" w:rsidRDefault="00B15AC6" w:rsidP="00E0291A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1E091011" w14:textId="77777777" w:rsidR="00E0291A" w:rsidRDefault="00E0291A" w:rsidP="00E0291A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218E918E" w14:textId="77777777" w:rsidR="00294F1E" w:rsidRPr="00D2778E" w:rsidRDefault="00294F1E" w:rsidP="00294F1E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D2778E">
        <w:rPr>
          <w:rFonts w:ascii="Calibri" w:hAnsi="Calibri" w:cs="Calibri"/>
          <w:b/>
          <w:sz w:val="24"/>
          <w:szCs w:val="24"/>
          <w:u w:val="single"/>
        </w:rPr>
        <w:t>Note for Supplementary</w:t>
      </w:r>
      <w:r w:rsidRPr="00D2778E">
        <w:rPr>
          <w:rFonts w:ascii="Calibri" w:hAnsi="Calibri" w:cs="Calibri"/>
          <w:b/>
          <w:sz w:val="24"/>
          <w:szCs w:val="24"/>
        </w:rPr>
        <w:t>:</w:t>
      </w:r>
      <w:r w:rsidRPr="00D2778E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572BB17" w14:textId="77777777" w:rsidR="00294F1E" w:rsidRDefault="00294F1E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  <w:r w:rsidRPr="00D2778E">
        <w:rPr>
          <w:rFonts w:ascii="Calibri" w:hAnsi="Calibri" w:cs="Calibri"/>
          <w:iCs/>
          <w:sz w:val="24"/>
          <w:szCs w:val="24"/>
        </w:rPr>
        <w:lastRenderedPageBreak/>
        <w:t>Numaligarh Refinery Limited (NRL) is a Public Sector Enterprise with a 3.0 MMTPA petroleum refinery at Numaligarh in Golaghat district of Assam. Present shareholding pattern of NRL is Oil India Limited (OIL) – 69.63%, Govt. of Assam (GoA) – 26% and Engineers India Ltd (EIL) – 4.37%.</w:t>
      </w:r>
    </w:p>
    <w:p w14:paraId="49B4E9CD" w14:textId="77777777" w:rsidR="003E6725" w:rsidRDefault="003E6725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</w:p>
    <w:p w14:paraId="0B2B920C" w14:textId="1913AC9B" w:rsidR="00294F1E" w:rsidRPr="00D2778E" w:rsidRDefault="00D2778E" w:rsidP="00D2778E">
      <w:pPr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***</w:t>
      </w:r>
    </w:p>
    <w:sectPr w:rsidR="00294F1E" w:rsidRPr="00D2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316D7"/>
    <w:multiLevelType w:val="hybridMultilevel"/>
    <w:tmpl w:val="F942FF96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B0783"/>
    <w:multiLevelType w:val="hybridMultilevel"/>
    <w:tmpl w:val="D152C9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1BF7"/>
    <w:multiLevelType w:val="hybridMultilevel"/>
    <w:tmpl w:val="AE3E1204"/>
    <w:lvl w:ilvl="0" w:tplc="4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F35870"/>
    <w:multiLevelType w:val="hybridMultilevel"/>
    <w:tmpl w:val="05C0177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A7161C"/>
    <w:multiLevelType w:val="hybridMultilevel"/>
    <w:tmpl w:val="A76694EC"/>
    <w:lvl w:ilvl="0" w:tplc="60D0A70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294311"/>
    <w:multiLevelType w:val="hybridMultilevel"/>
    <w:tmpl w:val="EDCEA1D6"/>
    <w:lvl w:ilvl="0" w:tplc="B99AF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762F3"/>
    <w:multiLevelType w:val="hybridMultilevel"/>
    <w:tmpl w:val="AE3E120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4749EC"/>
    <w:multiLevelType w:val="hybridMultilevel"/>
    <w:tmpl w:val="315AA778"/>
    <w:lvl w:ilvl="0" w:tplc="99EC698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55421FE"/>
    <w:multiLevelType w:val="hybridMultilevel"/>
    <w:tmpl w:val="8F0EAEA2"/>
    <w:lvl w:ilvl="0" w:tplc="65F610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A71167E"/>
    <w:multiLevelType w:val="hybridMultilevel"/>
    <w:tmpl w:val="53E02120"/>
    <w:lvl w:ilvl="0" w:tplc="57363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611299"/>
    <w:multiLevelType w:val="hybridMultilevel"/>
    <w:tmpl w:val="4A8E778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45009423">
    <w:abstractNumId w:val="5"/>
  </w:num>
  <w:num w:numId="2" w16cid:durableId="1804930002">
    <w:abstractNumId w:val="3"/>
  </w:num>
  <w:num w:numId="3" w16cid:durableId="331031168">
    <w:abstractNumId w:val="8"/>
  </w:num>
  <w:num w:numId="4" w16cid:durableId="1513763484">
    <w:abstractNumId w:val="2"/>
  </w:num>
  <w:num w:numId="5" w16cid:durableId="1179082632">
    <w:abstractNumId w:val="6"/>
  </w:num>
  <w:num w:numId="6" w16cid:durableId="1867137376">
    <w:abstractNumId w:val="4"/>
  </w:num>
  <w:num w:numId="7" w16cid:durableId="1343361549">
    <w:abstractNumId w:val="7"/>
  </w:num>
  <w:num w:numId="8" w16cid:durableId="1517960102">
    <w:abstractNumId w:val="0"/>
  </w:num>
  <w:num w:numId="9" w16cid:durableId="1612736855">
    <w:abstractNumId w:val="10"/>
  </w:num>
  <w:num w:numId="10" w16cid:durableId="260459001">
    <w:abstractNumId w:val="9"/>
  </w:num>
  <w:num w:numId="11" w16cid:durableId="36945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2"/>
    <w:rsid w:val="00000210"/>
    <w:rsid w:val="00014F79"/>
    <w:rsid w:val="00023657"/>
    <w:rsid w:val="00026395"/>
    <w:rsid w:val="000433EF"/>
    <w:rsid w:val="00044C78"/>
    <w:rsid w:val="00045F4A"/>
    <w:rsid w:val="000530EB"/>
    <w:rsid w:val="00056EBE"/>
    <w:rsid w:val="00080BAC"/>
    <w:rsid w:val="00087581"/>
    <w:rsid w:val="000912E4"/>
    <w:rsid w:val="000B2654"/>
    <w:rsid w:val="000B567F"/>
    <w:rsid w:val="000D2613"/>
    <w:rsid w:val="000D685A"/>
    <w:rsid w:val="000F01EE"/>
    <w:rsid w:val="000F483C"/>
    <w:rsid w:val="001005AB"/>
    <w:rsid w:val="001021A6"/>
    <w:rsid w:val="00106FCB"/>
    <w:rsid w:val="00117FE6"/>
    <w:rsid w:val="00123DFB"/>
    <w:rsid w:val="0012664F"/>
    <w:rsid w:val="0013043A"/>
    <w:rsid w:val="00136851"/>
    <w:rsid w:val="00146803"/>
    <w:rsid w:val="00153452"/>
    <w:rsid w:val="00172099"/>
    <w:rsid w:val="00180603"/>
    <w:rsid w:val="0018411C"/>
    <w:rsid w:val="0019663A"/>
    <w:rsid w:val="0019748A"/>
    <w:rsid w:val="001A3E29"/>
    <w:rsid w:val="001A3FD3"/>
    <w:rsid w:val="001C028D"/>
    <w:rsid w:val="001C1913"/>
    <w:rsid w:val="001D7302"/>
    <w:rsid w:val="001E5E16"/>
    <w:rsid w:val="001E7A56"/>
    <w:rsid w:val="001F4854"/>
    <w:rsid w:val="001F5622"/>
    <w:rsid w:val="002022E5"/>
    <w:rsid w:val="00210072"/>
    <w:rsid w:val="00217F5F"/>
    <w:rsid w:val="00225856"/>
    <w:rsid w:val="00233436"/>
    <w:rsid w:val="00237A20"/>
    <w:rsid w:val="0025053D"/>
    <w:rsid w:val="0025395F"/>
    <w:rsid w:val="0026485B"/>
    <w:rsid w:val="002746D5"/>
    <w:rsid w:val="0028786D"/>
    <w:rsid w:val="002919D4"/>
    <w:rsid w:val="00293D68"/>
    <w:rsid w:val="00294F1E"/>
    <w:rsid w:val="00297095"/>
    <w:rsid w:val="002A300C"/>
    <w:rsid w:val="002B494F"/>
    <w:rsid w:val="002D59D2"/>
    <w:rsid w:val="002E2762"/>
    <w:rsid w:val="002E475C"/>
    <w:rsid w:val="002F1A47"/>
    <w:rsid w:val="003120FE"/>
    <w:rsid w:val="00322AF2"/>
    <w:rsid w:val="0033101D"/>
    <w:rsid w:val="003400C8"/>
    <w:rsid w:val="00344409"/>
    <w:rsid w:val="00346C4A"/>
    <w:rsid w:val="00347F60"/>
    <w:rsid w:val="00354966"/>
    <w:rsid w:val="0036727E"/>
    <w:rsid w:val="00372AE2"/>
    <w:rsid w:val="00376642"/>
    <w:rsid w:val="00382795"/>
    <w:rsid w:val="0038771C"/>
    <w:rsid w:val="00390CA9"/>
    <w:rsid w:val="003926C7"/>
    <w:rsid w:val="003A311A"/>
    <w:rsid w:val="003A6864"/>
    <w:rsid w:val="003B4885"/>
    <w:rsid w:val="003B50CD"/>
    <w:rsid w:val="003C1C94"/>
    <w:rsid w:val="003C7A56"/>
    <w:rsid w:val="003D2666"/>
    <w:rsid w:val="003D6E34"/>
    <w:rsid w:val="003E075F"/>
    <w:rsid w:val="003E5E95"/>
    <w:rsid w:val="003E6725"/>
    <w:rsid w:val="003E6905"/>
    <w:rsid w:val="003F1158"/>
    <w:rsid w:val="003F1C76"/>
    <w:rsid w:val="003F306E"/>
    <w:rsid w:val="004076D5"/>
    <w:rsid w:val="004217D2"/>
    <w:rsid w:val="00421853"/>
    <w:rsid w:val="004258E3"/>
    <w:rsid w:val="00460D63"/>
    <w:rsid w:val="00461227"/>
    <w:rsid w:val="00461292"/>
    <w:rsid w:val="00477F74"/>
    <w:rsid w:val="00480D27"/>
    <w:rsid w:val="0049508C"/>
    <w:rsid w:val="004B3159"/>
    <w:rsid w:val="004B46C7"/>
    <w:rsid w:val="004B58FC"/>
    <w:rsid w:val="004C1B23"/>
    <w:rsid w:val="004D6E8E"/>
    <w:rsid w:val="004E333F"/>
    <w:rsid w:val="004E59D2"/>
    <w:rsid w:val="004F20A7"/>
    <w:rsid w:val="004F39BB"/>
    <w:rsid w:val="004F5E07"/>
    <w:rsid w:val="00501B9B"/>
    <w:rsid w:val="0050780B"/>
    <w:rsid w:val="0051030C"/>
    <w:rsid w:val="00512C56"/>
    <w:rsid w:val="00513A6D"/>
    <w:rsid w:val="00514053"/>
    <w:rsid w:val="00522BB2"/>
    <w:rsid w:val="00525EBC"/>
    <w:rsid w:val="00527462"/>
    <w:rsid w:val="00537E19"/>
    <w:rsid w:val="00542471"/>
    <w:rsid w:val="005631DF"/>
    <w:rsid w:val="0056542C"/>
    <w:rsid w:val="0056759F"/>
    <w:rsid w:val="005731CD"/>
    <w:rsid w:val="00576CF5"/>
    <w:rsid w:val="00591922"/>
    <w:rsid w:val="00595559"/>
    <w:rsid w:val="005A2B18"/>
    <w:rsid w:val="005A2CBE"/>
    <w:rsid w:val="005A550C"/>
    <w:rsid w:val="005A714C"/>
    <w:rsid w:val="005B52C3"/>
    <w:rsid w:val="005B66E8"/>
    <w:rsid w:val="005B6886"/>
    <w:rsid w:val="005C070B"/>
    <w:rsid w:val="005C1C38"/>
    <w:rsid w:val="005D721D"/>
    <w:rsid w:val="005E629F"/>
    <w:rsid w:val="005F001A"/>
    <w:rsid w:val="005F0047"/>
    <w:rsid w:val="005F0A60"/>
    <w:rsid w:val="005F15CD"/>
    <w:rsid w:val="005F57EF"/>
    <w:rsid w:val="00605C68"/>
    <w:rsid w:val="00616C06"/>
    <w:rsid w:val="00630C42"/>
    <w:rsid w:val="0063382E"/>
    <w:rsid w:val="00644262"/>
    <w:rsid w:val="006563C9"/>
    <w:rsid w:val="00672067"/>
    <w:rsid w:val="006822CA"/>
    <w:rsid w:val="00684994"/>
    <w:rsid w:val="00685E2B"/>
    <w:rsid w:val="00693851"/>
    <w:rsid w:val="00693BE0"/>
    <w:rsid w:val="006A2D03"/>
    <w:rsid w:val="006A44A6"/>
    <w:rsid w:val="006A4594"/>
    <w:rsid w:val="006A680A"/>
    <w:rsid w:val="006D69BE"/>
    <w:rsid w:val="006E41AB"/>
    <w:rsid w:val="006E6B1C"/>
    <w:rsid w:val="006F7B76"/>
    <w:rsid w:val="00701356"/>
    <w:rsid w:val="00701FFF"/>
    <w:rsid w:val="00702010"/>
    <w:rsid w:val="00715710"/>
    <w:rsid w:val="007166A9"/>
    <w:rsid w:val="00722344"/>
    <w:rsid w:val="007248B3"/>
    <w:rsid w:val="007324FE"/>
    <w:rsid w:val="007334CD"/>
    <w:rsid w:val="00751793"/>
    <w:rsid w:val="00753076"/>
    <w:rsid w:val="00753BC2"/>
    <w:rsid w:val="0075703D"/>
    <w:rsid w:val="007653C6"/>
    <w:rsid w:val="0077762B"/>
    <w:rsid w:val="00777AA1"/>
    <w:rsid w:val="00783512"/>
    <w:rsid w:val="00790222"/>
    <w:rsid w:val="00793161"/>
    <w:rsid w:val="007A523E"/>
    <w:rsid w:val="007A6B00"/>
    <w:rsid w:val="007B4072"/>
    <w:rsid w:val="007D3274"/>
    <w:rsid w:val="007D4900"/>
    <w:rsid w:val="007D6505"/>
    <w:rsid w:val="007D65AD"/>
    <w:rsid w:val="007E3140"/>
    <w:rsid w:val="007E4A02"/>
    <w:rsid w:val="00801464"/>
    <w:rsid w:val="00802436"/>
    <w:rsid w:val="00805778"/>
    <w:rsid w:val="00805C6E"/>
    <w:rsid w:val="008118A9"/>
    <w:rsid w:val="008127C9"/>
    <w:rsid w:val="00816F9A"/>
    <w:rsid w:val="00817202"/>
    <w:rsid w:val="008201DA"/>
    <w:rsid w:val="008218A0"/>
    <w:rsid w:val="00823234"/>
    <w:rsid w:val="008255B7"/>
    <w:rsid w:val="00826DAF"/>
    <w:rsid w:val="008272F0"/>
    <w:rsid w:val="0083270E"/>
    <w:rsid w:val="0083374F"/>
    <w:rsid w:val="00841D72"/>
    <w:rsid w:val="00843B81"/>
    <w:rsid w:val="00843BF4"/>
    <w:rsid w:val="00861FFD"/>
    <w:rsid w:val="008653EC"/>
    <w:rsid w:val="00875304"/>
    <w:rsid w:val="00885BD1"/>
    <w:rsid w:val="00893045"/>
    <w:rsid w:val="008B2B97"/>
    <w:rsid w:val="008B6238"/>
    <w:rsid w:val="008B68CC"/>
    <w:rsid w:val="008B6C12"/>
    <w:rsid w:val="008C4366"/>
    <w:rsid w:val="008C4574"/>
    <w:rsid w:val="008E777A"/>
    <w:rsid w:val="008F1E16"/>
    <w:rsid w:val="008F5387"/>
    <w:rsid w:val="00904DCB"/>
    <w:rsid w:val="0091171D"/>
    <w:rsid w:val="009125C9"/>
    <w:rsid w:val="00915043"/>
    <w:rsid w:val="00927D1A"/>
    <w:rsid w:val="00966F01"/>
    <w:rsid w:val="009728D9"/>
    <w:rsid w:val="009A0ED7"/>
    <w:rsid w:val="009A3204"/>
    <w:rsid w:val="009A42F2"/>
    <w:rsid w:val="009A51D0"/>
    <w:rsid w:val="009B4EA0"/>
    <w:rsid w:val="009B521A"/>
    <w:rsid w:val="009C6DE1"/>
    <w:rsid w:val="009D3DAC"/>
    <w:rsid w:val="009D65A1"/>
    <w:rsid w:val="009E3CFE"/>
    <w:rsid w:val="009F0C3D"/>
    <w:rsid w:val="009F0F16"/>
    <w:rsid w:val="009F34C6"/>
    <w:rsid w:val="009F506E"/>
    <w:rsid w:val="00A06317"/>
    <w:rsid w:val="00A12CE0"/>
    <w:rsid w:val="00A25369"/>
    <w:rsid w:val="00A3057E"/>
    <w:rsid w:val="00A548E9"/>
    <w:rsid w:val="00A70E38"/>
    <w:rsid w:val="00A71A6E"/>
    <w:rsid w:val="00A77C3D"/>
    <w:rsid w:val="00A86B8D"/>
    <w:rsid w:val="00A92437"/>
    <w:rsid w:val="00A939C1"/>
    <w:rsid w:val="00AF354D"/>
    <w:rsid w:val="00AF5C03"/>
    <w:rsid w:val="00B01095"/>
    <w:rsid w:val="00B04A03"/>
    <w:rsid w:val="00B10690"/>
    <w:rsid w:val="00B1183B"/>
    <w:rsid w:val="00B15AC6"/>
    <w:rsid w:val="00B36253"/>
    <w:rsid w:val="00B41BD0"/>
    <w:rsid w:val="00B54DAD"/>
    <w:rsid w:val="00B61C74"/>
    <w:rsid w:val="00B66C35"/>
    <w:rsid w:val="00B75627"/>
    <w:rsid w:val="00BB203C"/>
    <w:rsid w:val="00BB49C6"/>
    <w:rsid w:val="00BC3B47"/>
    <w:rsid w:val="00BD0990"/>
    <w:rsid w:val="00BD2125"/>
    <w:rsid w:val="00BD44B1"/>
    <w:rsid w:val="00BD65BD"/>
    <w:rsid w:val="00BD6674"/>
    <w:rsid w:val="00BE6102"/>
    <w:rsid w:val="00BF29F7"/>
    <w:rsid w:val="00BF314D"/>
    <w:rsid w:val="00BF4D0E"/>
    <w:rsid w:val="00BF5DCB"/>
    <w:rsid w:val="00C0531B"/>
    <w:rsid w:val="00C061C5"/>
    <w:rsid w:val="00C20926"/>
    <w:rsid w:val="00C23026"/>
    <w:rsid w:val="00C263B9"/>
    <w:rsid w:val="00C53CF1"/>
    <w:rsid w:val="00C56386"/>
    <w:rsid w:val="00C907E3"/>
    <w:rsid w:val="00C9620F"/>
    <w:rsid w:val="00CB1828"/>
    <w:rsid w:val="00CC118B"/>
    <w:rsid w:val="00CE1E6E"/>
    <w:rsid w:val="00CE22E2"/>
    <w:rsid w:val="00CE2E6A"/>
    <w:rsid w:val="00CE4797"/>
    <w:rsid w:val="00CF58D6"/>
    <w:rsid w:val="00D01C85"/>
    <w:rsid w:val="00D15AE5"/>
    <w:rsid w:val="00D21F91"/>
    <w:rsid w:val="00D2778E"/>
    <w:rsid w:val="00D3376E"/>
    <w:rsid w:val="00D34028"/>
    <w:rsid w:val="00D34DC9"/>
    <w:rsid w:val="00D36357"/>
    <w:rsid w:val="00D40363"/>
    <w:rsid w:val="00D471F5"/>
    <w:rsid w:val="00D51025"/>
    <w:rsid w:val="00D86FAB"/>
    <w:rsid w:val="00D93AFD"/>
    <w:rsid w:val="00D94054"/>
    <w:rsid w:val="00D97E42"/>
    <w:rsid w:val="00DB1315"/>
    <w:rsid w:val="00DB1B0D"/>
    <w:rsid w:val="00DB2100"/>
    <w:rsid w:val="00DB46B4"/>
    <w:rsid w:val="00DC0D55"/>
    <w:rsid w:val="00DC252F"/>
    <w:rsid w:val="00DC313E"/>
    <w:rsid w:val="00DC41F5"/>
    <w:rsid w:val="00DC5FD8"/>
    <w:rsid w:val="00DC7891"/>
    <w:rsid w:val="00DD720C"/>
    <w:rsid w:val="00DE3A44"/>
    <w:rsid w:val="00DE5788"/>
    <w:rsid w:val="00DE6A3D"/>
    <w:rsid w:val="00DF3A69"/>
    <w:rsid w:val="00DF72EB"/>
    <w:rsid w:val="00E0291A"/>
    <w:rsid w:val="00E07840"/>
    <w:rsid w:val="00E22484"/>
    <w:rsid w:val="00E34300"/>
    <w:rsid w:val="00E40386"/>
    <w:rsid w:val="00E45AF6"/>
    <w:rsid w:val="00E50F92"/>
    <w:rsid w:val="00E61BCC"/>
    <w:rsid w:val="00E64CA5"/>
    <w:rsid w:val="00E64E0E"/>
    <w:rsid w:val="00E72729"/>
    <w:rsid w:val="00E74A2E"/>
    <w:rsid w:val="00E7528A"/>
    <w:rsid w:val="00E87BD1"/>
    <w:rsid w:val="00E93BA8"/>
    <w:rsid w:val="00EA5052"/>
    <w:rsid w:val="00EA58A2"/>
    <w:rsid w:val="00EA7797"/>
    <w:rsid w:val="00EC3380"/>
    <w:rsid w:val="00EC656D"/>
    <w:rsid w:val="00ED22F0"/>
    <w:rsid w:val="00ED6647"/>
    <w:rsid w:val="00EE3936"/>
    <w:rsid w:val="00EE43F3"/>
    <w:rsid w:val="00EF4FAF"/>
    <w:rsid w:val="00F10F55"/>
    <w:rsid w:val="00F14705"/>
    <w:rsid w:val="00F27096"/>
    <w:rsid w:val="00F305F0"/>
    <w:rsid w:val="00F33799"/>
    <w:rsid w:val="00F34626"/>
    <w:rsid w:val="00F3677B"/>
    <w:rsid w:val="00F4746E"/>
    <w:rsid w:val="00F51319"/>
    <w:rsid w:val="00F51BF4"/>
    <w:rsid w:val="00F61C01"/>
    <w:rsid w:val="00F67EAB"/>
    <w:rsid w:val="00F7461C"/>
    <w:rsid w:val="00F7469D"/>
    <w:rsid w:val="00F76E9B"/>
    <w:rsid w:val="00FB166B"/>
    <w:rsid w:val="00FB1F0F"/>
    <w:rsid w:val="00FB2E45"/>
    <w:rsid w:val="00FB7DB0"/>
    <w:rsid w:val="00FC216C"/>
    <w:rsid w:val="00FC4043"/>
    <w:rsid w:val="00FC7C07"/>
    <w:rsid w:val="00FD0849"/>
    <w:rsid w:val="00FD1A4C"/>
    <w:rsid w:val="00FD565D"/>
    <w:rsid w:val="00FD5990"/>
    <w:rsid w:val="00FF0127"/>
    <w:rsid w:val="00FF3E3D"/>
    <w:rsid w:val="00FF6D66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1DC4"/>
  <w15:chartTrackingRefBased/>
  <w15:docId w15:val="{4B51B150-2592-4E78-A7F4-23CFB1A9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">
    <w:name w:val="Style6"/>
    <w:basedOn w:val="DefaultParagraphFont"/>
    <w:uiPriority w:val="1"/>
    <w:rsid w:val="009125C9"/>
    <w:rPr>
      <w:rFonts w:ascii="Times New Roman" w:hAnsi="Times New Roman"/>
      <w:b/>
      <w:color w:val="000000" w:themeColor="text1"/>
      <w:sz w:val="22"/>
    </w:rPr>
  </w:style>
  <w:style w:type="character" w:customStyle="1" w:styleId="Style7">
    <w:name w:val="Style7"/>
    <w:basedOn w:val="DefaultParagraphFont"/>
    <w:uiPriority w:val="1"/>
    <w:rsid w:val="009125C9"/>
    <w:rPr>
      <w:rFonts w:ascii="Times New Roman" w:hAnsi="Times New Roman"/>
      <w:b/>
      <w:sz w:val="22"/>
    </w:rPr>
  </w:style>
  <w:style w:type="character" w:customStyle="1" w:styleId="Style10">
    <w:name w:val="Style10"/>
    <w:basedOn w:val="DefaultParagraphFont"/>
    <w:uiPriority w:val="1"/>
    <w:rsid w:val="00805C6E"/>
    <w:rPr>
      <w:rFonts w:ascii="Times New Roman" w:hAnsi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72"/>
    <w:rPr>
      <w:i/>
      <w:iCs/>
      <w:color w:val="404040" w:themeColor="text1" w:themeTint="BF"/>
    </w:rPr>
  </w:style>
  <w:style w:type="paragraph" w:styleId="ListParagraph">
    <w:name w:val="List Paragraph"/>
    <w:aliases w:val="heading 9,1st Head,LP,List Para,LPARA,List Paragraph1,Colorful List - Accent 11,Report Para,List Paragraph11,LIST OF TABLES.,List Paragraph (numbered (a)),Number Bullets,ADB List Paragraph,Bullet for Sub Section,References,List_Paragraph"/>
    <w:basedOn w:val="Normal"/>
    <w:link w:val="ListParagraphChar"/>
    <w:uiPriority w:val="34"/>
    <w:qFormat/>
    <w:rsid w:val="007B4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26C7"/>
    <w:pPr>
      <w:spacing w:after="0" w:line="240" w:lineRule="auto"/>
    </w:pPr>
  </w:style>
  <w:style w:type="character" w:customStyle="1" w:styleId="ListParagraphChar">
    <w:name w:val="List Paragraph Char"/>
    <w:aliases w:val="heading 9 Char,1st Head Char,LP Char,List Para Char,LPARA Char,List Paragraph1 Char,Colorful List - Accent 11 Char,Report Para Char,List Paragraph11 Char,LIST OF TABLES. Char,List Paragraph (numbered (a)) Char,Number Bullets Char"/>
    <w:basedOn w:val="DefaultParagraphFont"/>
    <w:link w:val="ListParagraph"/>
    <w:uiPriority w:val="34"/>
    <w:qFormat/>
    <w:locked/>
    <w:rsid w:val="00A939C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C76"/>
    <w:pPr>
      <w:spacing w:after="120" w:line="276" w:lineRule="auto"/>
      <w:ind w:left="283"/>
    </w:pPr>
    <w:rPr>
      <w:kern w:val="0"/>
      <w:lang w:val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C7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TALUKDAR(Apprentice Trainee)</dc:creator>
  <cp:keywords/>
  <dc:description/>
  <cp:lastModifiedBy>Akshay Jyoti Baruah [अक्षय ज्योति बरुवा]</cp:lastModifiedBy>
  <cp:revision>359</cp:revision>
  <dcterms:created xsi:type="dcterms:W3CDTF">2024-07-23T04:38:00Z</dcterms:created>
  <dcterms:modified xsi:type="dcterms:W3CDTF">2024-12-09T11:04:00Z</dcterms:modified>
</cp:coreProperties>
</file>