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83DB" w14:textId="617E3A4F" w:rsidR="00292EBB" w:rsidRPr="00363877" w:rsidRDefault="00292EBB" w:rsidP="00363877">
      <w:pPr>
        <w:pStyle w:val="NoSpacing"/>
        <w:spacing w:after="120" w:line="264" w:lineRule="auto"/>
        <w:contextualSpacing/>
        <w:jc w:val="both"/>
        <w:rPr>
          <w:rFonts w:ascii="Calibri" w:hAnsi="Calibri"/>
          <w:b/>
          <w:bCs/>
          <w:color w:val="000000" w:themeColor="text1"/>
          <w:u w:val="single"/>
        </w:rPr>
      </w:pPr>
      <w:r w:rsidRPr="00B63C3A">
        <w:rPr>
          <w:rFonts w:ascii="Calibri" w:hAnsi="Calibri" w:cs="Calibri"/>
          <w:b/>
          <w:color w:val="000000" w:themeColor="text1"/>
          <w:sz w:val="24"/>
          <w:szCs w:val="24"/>
          <w:u w:val="single"/>
        </w:rPr>
        <w:t xml:space="preserve">Reply to Parliament Question No </w:t>
      </w:r>
      <w:r w:rsidR="0019087C">
        <w:rPr>
          <w:rFonts w:ascii="Calibri" w:hAnsi="Calibri" w:cs="Calibri"/>
          <w:b/>
          <w:color w:val="000000" w:themeColor="text1"/>
          <w:sz w:val="24"/>
          <w:szCs w:val="24"/>
          <w:u w:val="single"/>
        </w:rPr>
        <w:t>7058</w:t>
      </w:r>
      <w:r w:rsidRPr="00B63C3A">
        <w:rPr>
          <w:rFonts w:ascii="Calibri" w:hAnsi="Calibri" w:cs="Calibri"/>
          <w:b/>
          <w:color w:val="000000" w:themeColor="text1"/>
          <w:sz w:val="24"/>
          <w:szCs w:val="24"/>
          <w:u w:val="single"/>
        </w:rPr>
        <w:t xml:space="preserve"> for </w:t>
      </w:r>
      <w:r w:rsidR="000C3E08">
        <w:rPr>
          <w:rFonts w:ascii="Calibri" w:hAnsi="Calibri" w:cs="Calibri"/>
          <w:b/>
          <w:color w:val="000000" w:themeColor="text1"/>
          <w:sz w:val="24"/>
          <w:szCs w:val="24"/>
          <w:u w:val="single"/>
        </w:rPr>
        <w:t>28</w:t>
      </w:r>
      <w:r w:rsidRPr="00B63C3A">
        <w:rPr>
          <w:rFonts w:ascii="Calibri" w:hAnsi="Calibri" w:cs="Calibri"/>
          <w:b/>
          <w:color w:val="000000" w:themeColor="text1"/>
          <w:sz w:val="24"/>
          <w:szCs w:val="24"/>
          <w:u w:val="single"/>
        </w:rPr>
        <w:t>.0</w:t>
      </w:r>
      <w:r w:rsidR="000C3E08">
        <w:rPr>
          <w:rFonts w:ascii="Calibri" w:hAnsi="Calibri" w:cs="Calibri"/>
          <w:b/>
          <w:color w:val="000000" w:themeColor="text1"/>
          <w:sz w:val="24"/>
          <w:szCs w:val="24"/>
          <w:u w:val="single"/>
        </w:rPr>
        <w:t>3</w:t>
      </w:r>
      <w:r w:rsidRPr="00B63C3A">
        <w:rPr>
          <w:rFonts w:ascii="Calibri" w:hAnsi="Calibri" w:cs="Calibri"/>
          <w:b/>
          <w:color w:val="000000" w:themeColor="text1"/>
          <w:sz w:val="24"/>
          <w:szCs w:val="24"/>
          <w:u w:val="single"/>
        </w:rPr>
        <w:t xml:space="preserve">.2025 for </w:t>
      </w:r>
      <w:r w:rsidR="00F351B2">
        <w:rPr>
          <w:rFonts w:ascii="Calibri" w:hAnsi="Calibri" w:cs="Calibri"/>
          <w:b/>
          <w:color w:val="000000" w:themeColor="text1"/>
          <w:sz w:val="24"/>
          <w:szCs w:val="24"/>
          <w:u w:val="single"/>
        </w:rPr>
        <w:t>Rajya</w:t>
      </w:r>
      <w:r w:rsidRPr="00B63C3A">
        <w:rPr>
          <w:rFonts w:ascii="Calibri" w:hAnsi="Calibri" w:cs="Calibri"/>
          <w:b/>
          <w:color w:val="000000" w:themeColor="text1"/>
          <w:sz w:val="24"/>
          <w:szCs w:val="24"/>
          <w:u w:val="single"/>
        </w:rPr>
        <w:t xml:space="preserve"> Sabha regarding “</w:t>
      </w:r>
      <w:r w:rsidR="0019087C" w:rsidRPr="0019087C">
        <w:rPr>
          <w:rFonts w:ascii="Calibri" w:hAnsi="Calibri" w:cs="Calibri"/>
          <w:b/>
          <w:bCs/>
          <w:color w:val="000000" w:themeColor="text1"/>
          <w:sz w:val="24"/>
          <w:szCs w:val="24"/>
          <w:u w:val="single"/>
        </w:rPr>
        <w:t>Central Assistance for setting up of Startups</w:t>
      </w:r>
      <w:r w:rsidRPr="00B63C3A">
        <w:rPr>
          <w:rFonts w:ascii="Calibri" w:hAnsi="Calibri" w:cs="Calibri"/>
          <w:b/>
          <w:color w:val="000000" w:themeColor="text1"/>
          <w:sz w:val="24"/>
          <w:szCs w:val="24"/>
          <w:u w:val="single"/>
        </w:rPr>
        <w:t>” in respect of Numaligarh Refinery Limited (NRL):</w:t>
      </w:r>
    </w:p>
    <w:p w14:paraId="23B03224" w14:textId="77777777" w:rsidR="00292EBB" w:rsidRPr="00B63C3A" w:rsidRDefault="00292EBB" w:rsidP="00292EBB">
      <w:pPr>
        <w:pStyle w:val="NoSpacing"/>
        <w:spacing w:after="120" w:line="264" w:lineRule="auto"/>
        <w:contextualSpacing/>
        <w:jc w:val="both"/>
        <w:rPr>
          <w:rFonts w:ascii="Calibri" w:hAnsi="Calibri" w:cs="Calibri"/>
          <w:b/>
          <w:color w:val="000000" w:themeColor="text1"/>
          <w:sz w:val="24"/>
          <w:szCs w:val="24"/>
          <w:u w:val="single"/>
        </w:rPr>
      </w:pPr>
    </w:p>
    <w:p w14:paraId="398050CA" w14:textId="756873A9" w:rsidR="00292EBB" w:rsidRPr="00862EA7" w:rsidRDefault="00292EBB" w:rsidP="00862EA7">
      <w:pPr>
        <w:pStyle w:val="NoSpacing"/>
        <w:spacing w:after="120" w:line="264" w:lineRule="auto"/>
        <w:ind w:left="1440" w:hanging="1440"/>
        <w:contextualSpacing/>
        <w:jc w:val="both"/>
        <w:rPr>
          <w:rFonts w:ascii="Calibri" w:eastAsia="Times New Roman" w:hAnsi="Calibri"/>
          <w:b/>
          <w:color w:val="000000" w:themeColor="text1"/>
        </w:rPr>
      </w:pPr>
      <w:r w:rsidRPr="00B63C3A">
        <w:rPr>
          <w:rFonts w:ascii="Calibri" w:eastAsia="Times New Roman" w:hAnsi="Calibri" w:cs="Calibri"/>
          <w:b/>
          <w:color w:val="000000" w:themeColor="text1"/>
          <w:sz w:val="24"/>
          <w:szCs w:val="24"/>
        </w:rPr>
        <w:t>Q no. (a):</w:t>
      </w:r>
      <w:r w:rsidRPr="00B63C3A">
        <w:rPr>
          <w:rFonts w:ascii="Calibri" w:eastAsia="Times New Roman" w:hAnsi="Calibri" w:cs="Calibri"/>
          <w:b/>
          <w:color w:val="000000" w:themeColor="text1"/>
          <w:sz w:val="24"/>
          <w:szCs w:val="24"/>
        </w:rPr>
        <w:tab/>
      </w:r>
      <w:r w:rsidR="0082411F">
        <w:rPr>
          <w:rFonts w:ascii="Calibri" w:eastAsia="Times New Roman" w:hAnsi="Calibri" w:cs="Calibri"/>
          <w:b/>
          <w:color w:val="000000" w:themeColor="text1"/>
          <w:sz w:val="24"/>
          <w:szCs w:val="24"/>
        </w:rPr>
        <w:t xml:space="preserve">State-wise list of starts-up being </w:t>
      </w:r>
      <w:r w:rsidR="00413101">
        <w:rPr>
          <w:rFonts w:ascii="Calibri" w:eastAsia="Times New Roman" w:hAnsi="Calibri" w:cs="Calibri"/>
          <w:b/>
          <w:color w:val="000000" w:themeColor="text1"/>
          <w:sz w:val="24"/>
          <w:szCs w:val="24"/>
        </w:rPr>
        <w:t>set up in the country for last three years</w:t>
      </w:r>
      <w:r>
        <w:rPr>
          <w:rFonts w:ascii="Calibri" w:eastAsia="Times New Roman" w:hAnsi="Calibri" w:cs="Calibri"/>
          <w:b/>
          <w:color w:val="000000" w:themeColor="text1"/>
          <w:sz w:val="24"/>
          <w:szCs w:val="24"/>
        </w:rPr>
        <w:t>;</w:t>
      </w:r>
    </w:p>
    <w:p w14:paraId="12988AF9" w14:textId="70391567" w:rsidR="00AD7EE6" w:rsidRDefault="00292EBB" w:rsidP="00093BED">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3696CABC" w14:textId="31A94748" w:rsidR="00481B83" w:rsidRDefault="00220260" w:rsidP="005607B1">
      <w:pPr>
        <w:pStyle w:val="NoSpacing"/>
        <w:spacing w:after="120" w:line="264" w:lineRule="auto"/>
        <w:ind w:left="1440" w:hanging="1440"/>
        <w:contextualSpacing/>
        <w:jc w:val="both"/>
        <w:rPr>
          <w:rFonts w:ascii="Calibri" w:hAnsi="Calibri" w:cs="Calibri"/>
          <w:bCs/>
          <w:sz w:val="24"/>
          <w:szCs w:val="24"/>
        </w:rPr>
      </w:pPr>
      <w:r>
        <w:rPr>
          <w:rFonts w:ascii="Calibri" w:hAnsi="Calibri" w:cs="Calibri"/>
          <w:b/>
          <w:color w:val="000000" w:themeColor="text1"/>
          <w:sz w:val="24"/>
          <w:szCs w:val="24"/>
        </w:rPr>
        <w:tab/>
      </w:r>
      <w:r w:rsidRPr="00B31981">
        <w:rPr>
          <w:rFonts w:ascii="Calibri" w:hAnsi="Calibri" w:cs="Calibri"/>
          <w:bCs/>
          <w:sz w:val="24"/>
          <w:szCs w:val="24"/>
        </w:rPr>
        <w:t>[</w:t>
      </w:r>
      <w:r>
        <w:rPr>
          <w:rFonts w:ascii="Calibri" w:hAnsi="Calibri" w:cs="Calibri"/>
          <w:bCs/>
          <w:sz w:val="24"/>
          <w:szCs w:val="24"/>
        </w:rPr>
        <w:t>A</w:t>
      </w:r>
      <w:r w:rsidRPr="00BD0F5E">
        <w:rPr>
          <w:rFonts w:ascii="Calibri" w:hAnsi="Calibri" w:cs="Calibri"/>
          <w:bCs/>
          <w:sz w:val="24"/>
          <w:szCs w:val="24"/>
        </w:rPr>
        <w:t>s per directive of MoPNG</w:t>
      </w:r>
      <w:r>
        <w:rPr>
          <w:rFonts w:ascii="Calibri" w:hAnsi="Calibri" w:cs="Calibri"/>
          <w:bCs/>
          <w:sz w:val="24"/>
          <w:szCs w:val="24"/>
        </w:rPr>
        <w:t>, NRL</w:t>
      </w:r>
      <w:r w:rsidRPr="00BD0F5E">
        <w:rPr>
          <w:rFonts w:ascii="Calibri" w:hAnsi="Calibri" w:cs="Calibri"/>
          <w:bCs/>
          <w:sz w:val="24"/>
          <w:szCs w:val="24"/>
        </w:rPr>
        <w:t xml:space="preserve"> operates a startup support program named NRL iDEATION, through which startups are supported through a mix of grant and equity funding.</w:t>
      </w:r>
      <w:r w:rsidR="009A1542">
        <w:rPr>
          <w:rFonts w:ascii="Calibri" w:hAnsi="Calibri" w:cs="Calibri"/>
          <w:bCs/>
          <w:sz w:val="24"/>
          <w:szCs w:val="24"/>
        </w:rPr>
        <w:t xml:space="preserve"> </w:t>
      </w:r>
      <w:r w:rsidR="00E42DEF" w:rsidRPr="00B31981">
        <w:rPr>
          <w:rFonts w:ascii="Calibri" w:hAnsi="Calibri" w:cs="Calibri"/>
          <w:bCs/>
          <w:sz w:val="24"/>
          <w:szCs w:val="24"/>
        </w:rPr>
        <w:t>Under this program, NRL has a corpus of Rs. 50 crores – Rs. 20 Crores for Grant Funding and Rs. 30 Crores for Equity fundin</w:t>
      </w:r>
      <w:r w:rsidR="00B31981" w:rsidRPr="00B31981">
        <w:rPr>
          <w:rFonts w:ascii="Calibri" w:hAnsi="Calibri" w:cs="Calibri"/>
          <w:bCs/>
          <w:sz w:val="24"/>
          <w:szCs w:val="24"/>
        </w:rPr>
        <w:t>g</w:t>
      </w:r>
      <w:r w:rsidR="008E57F2">
        <w:rPr>
          <w:rFonts w:ascii="Calibri" w:hAnsi="Calibri" w:cs="Calibri"/>
          <w:bCs/>
          <w:sz w:val="24"/>
          <w:szCs w:val="24"/>
        </w:rPr>
        <w:t xml:space="preserve">. </w:t>
      </w:r>
      <w:r w:rsidR="00EE6527" w:rsidRPr="00EE6527">
        <w:rPr>
          <w:rFonts w:ascii="Calibri" w:hAnsi="Calibri" w:cs="Calibri"/>
          <w:bCs/>
          <w:sz w:val="24"/>
          <w:szCs w:val="24"/>
        </w:rPr>
        <w:t>NRL’s startup support program, iDEATION, aims to foster innovation and entrepreneurship by empowering startups from diverse sectors in the Northeast region.</w:t>
      </w:r>
      <w:r w:rsidR="00616915">
        <w:rPr>
          <w:rFonts w:ascii="Calibri" w:hAnsi="Calibri" w:cs="Calibri"/>
          <w:bCs/>
          <w:sz w:val="24"/>
          <w:szCs w:val="24"/>
        </w:rPr>
        <w:t xml:space="preserve"> Since commencement of the program in 2017, NRL has so far supported 65 startups from the Northeast region. </w:t>
      </w:r>
    </w:p>
    <w:p w14:paraId="765B0D43" w14:textId="77777777" w:rsidR="00481B83" w:rsidRDefault="00481B83" w:rsidP="00093BED">
      <w:pPr>
        <w:pStyle w:val="NoSpacing"/>
        <w:spacing w:after="120" w:line="264" w:lineRule="auto"/>
        <w:ind w:left="1440"/>
        <w:contextualSpacing/>
        <w:jc w:val="both"/>
        <w:rPr>
          <w:rFonts w:ascii="Calibri" w:hAnsi="Calibri" w:cs="Calibri"/>
          <w:bCs/>
          <w:sz w:val="24"/>
          <w:szCs w:val="24"/>
        </w:rPr>
      </w:pPr>
    </w:p>
    <w:p w14:paraId="6899303C" w14:textId="51EC6E94" w:rsidR="00616915" w:rsidRDefault="00616915" w:rsidP="00093BED">
      <w:pPr>
        <w:pStyle w:val="NoSpacing"/>
        <w:spacing w:after="120" w:line="264" w:lineRule="auto"/>
        <w:ind w:left="1440"/>
        <w:contextualSpacing/>
        <w:jc w:val="both"/>
        <w:rPr>
          <w:rFonts w:ascii="Calibri" w:hAnsi="Calibri" w:cs="Calibri"/>
          <w:bCs/>
          <w:sz w:val="24"/>
          <w:szCs w:val="24"/>
        </w:rPr>
      </w:pPr>
      <w:r>
        <w:rPr>
          <w:rFonts w:ascii="Calibri" w:hAnsi="Calibri" w:cs="Calibri"/>
          <w:bCs/>
          <w:sz w:val="24"/>
          <w:szCs w:val="24"/>
        </w:rPr>
        <w:t xml:space="preserve">During the last three years, NRL has supported 41 startups with grant funding of Rs. 9.58 crores and 4 startups with equity funding of Rs. 14.30 crore. </w:t>
      </w:r>
      <w:r w:rsidR="005A6794">
        <w:rPr>
          <w:rFonts w:ascii="Calibri" w:hAnsi="Calibri" w:cs="Calibri"/>
          <w:bCs/>
          <w:sz w:val="24"/>
          <w:szCs w:val="24"/>
        </w:rPr>
        <w:t>The State-wise list of starts</w:t>
      </w:r>
      <w:r w:rsidR="00992FD2">
        <w:rPr>
          <w:rFonts w:ascii="Calibri" w:hAnsi="Calibri" w:cs="Calibri"/>
          <w:bCs/>
          <w:sz w:val="24"/>
          <w:szCs w:val="24"/>
        </w:rPr>
        <w:t xml:space="preserve">-up supported by NRL iDEATION </w:t>
      </w:r>
      <w:r>
        <w:rPr>
          <w:rFonts w:ascii="Calibri" w:hAnsi="Calibri" w:cs="Calibri"/>
          <w:bCs/>
          <w:sz w:val="24"/>
          <w:szCs w:val="24"/>
        </w:rPr>
        <w:t>during the last three years are as follows:</w:t>
      </w:r>
    </w:p>
    <w:p w14:paraId="7D2040ED" w14:textId="11FBABD4" w:rsidR="00616915" w:rsidRDefault="00481B83" w:rsidP="00220260">
      <w:pPr>
        <w:pStyle w:val="NoSpacing"/>
        <w:spacing w:after="120" w:line="264" w:lineRule="auto"/>
        <w:ind w:left="1440" w:hanging="1440"/>
        <w:contextualSpacing/>
        <w:jc w:val="both"/>
        <w:rPr>
          <w:rFonts w:ascii="Calibri" w:hAnsi="Calibri" w:cs="Calibri"/>
          <w:bCs/>
          <w:sz w:val="24"/>
          <w:szCs w:val="24"/>
        </w:rPr>
      </w:pPr>
      <w:r>
        <w:rPr>
          <w:rFonts w:ascii="Calibri" w:hAnsi="Calibri" w:cs="Calibri"/>
          <w:bCs/>
          <w:sz w:val="24"/>
          <w:szCs w:val="24"/>
        </w:rPr>
        <w:tab/>
      </w:r>
    </w:p>
    <w:p w14:paraId="13E9FA38" w14:textId="45C3E311" w:rsidR="00481B83" w:rsidRPr="00481B83" w:rsidRDefault="00481B83" w:rsidP="00481B83">
      <w:pPr>
        <w:pStyle w:val="NoSpacing"/>
        <w:numPr>
          <w:ilvl w:val="0"/>
          <w:numId w:val="3"/>
        </w:numPr>
        <w:spacing w:after="120" w:line="264" w:lineRule="auto"/>
        <w:contextualSpacing/>
        <w:jc w:val="both"/>
        <w:rPr>
          <w:rFonts w:ascii="Calibri" w:hAnsi="Calibri" w:cs="Calibri"/>
          <w:b/>
          <w:sz w:val="24"/>
          <w:szCs w:val="24"/>
        </w:rPr>
      </w:pPr>
      <w:r w:rsidRPr="00481B83">
        <w:rPr>
          <w:rFonts w:ascii="Calibri" w:hAnsi="Calibri" w:cs="Calibri"/>
          <w:b/>
          <w:sz w:val="24"/>
          <w:szCs w:val="24"/>
        </w:rPr>
        <w:t>Grant Funding:</w:t>
      </w:r>
    </w:p>
    <w:tbl>
      <w:tblPr>
        <w:tblStyle w:val="TableGrid"/>
        <w:tblW w:w="0" w:type="auto"/>
        <w:tblInd w:w="1440" w:type="dxa"/>
        <w:tblLook w:val="04A0" w:firstRow="1" w:lastRow="0" w:firstColumn="1" w:lastColumn="0" w:noHBand="0" w:noVBand="1"/>
      </w:tblPr>
      <w:tblGrid>
        <w:gridCol w:w="823"/>
        <w:gridCol w:w="2268"/>
        <w:gridCol w:w="1560"/>
        <w:gridCol w:w="1559"/>
      </w:tblGrid>
      <w:tr w:rsidR="00616915" w14:paraId="177BE89E" w14:textId="3E38D5F3" w:rsidTr="00481B83">
        <w:tc>
          <w:tcPr>
            <w:tcW w:w="823" w:type="dxa"/>
          </w:tcPr>
          <w:p w14:paraId="76B68BF5" w14:textId="518828C7"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Sl.</w:t>
            </w:r>
          </w:p>
        </w:tc>
        <w:tc>
          <w:tcPr>
            <w:tcW w:w="2268" w:type="dxa"/>
          </w:tcPr>
          <w:p w14:paraId="54241F81" w14:textId="0861B679"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State</w:t>
            </w:r>
          </w:p>
        </w:tc>
        <w:tc>
          <w:tcPr>
            <w:tcW w:w="1560" w:type="dxa"/>
          </w:tcPr>
          <w:p w14:paraId="08D9681D" w14:textId="562C1015"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No. of Startups Supported</w:t>
            </w:r>
          </w:p>
        </w:tc>
        <w:tc>
          <w:tcPr>
            <w:tcW w:w="1559" w:type="dxa"/>
          </w:tcPr>
          <w:p w14:paraId="2574A0B3" w14:textId="3AF7FBFF"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Fund commitment (Rs. Lakh)</w:t>
            </w:r>
          </w:p>
        </w:tc>
      </w:tr>
      <w:tr w:rsidR="00616915" w14:paraId="0760F4A0" w14:textId="0645A934" w:rsidTr="00481B83">
        <w:tc>
          <w:tcPr>
            <w:tcW w:w="823" w:type="dxa"/>
          </w:tcPr>
          <w:p w14:paraId="0797C533" w14:textId="1FE08C45"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1</w:t>
            </w:r>
          </w:p>
        </w:tc>
        <w:tc>
          <w:tcPr>
            <w:tcW w:w="2268" w:type="dxa"/>
          </w:tcPr>
          <w:p w14:paraId="6474FA29" w14:textId="7D2D6EE8" w:rsidR="00616915" w:rsidRDefault="00616915" w:rsidP="00481B83">
            <w:pPr>
              <w:pStyle w:val="NoSpacing"/>
              <w:contextualSpacing/>
              <w:jc w:val="both"/>
              <w:rPr>
                <w:rFonts w:ascii="Calibri" w:hAnsi="Calibri" w:cs="Calibri"/>
                <w:bCs/>
                <w:sz w:val="24"/>
                <w:szCs w:val="24"/>
              </w:rPr>
            </w:pPr>
            <w:r>
              <w:rPr>
                <w:rFonts w:ascii="Calibri" w:hAnsi="Calibri" w:cs="Calibri"/>
                <w:bCs/>
                <w:sz w:val="24"/>
                <w:szCs w:val="24"/>
              </w:rPr>
              <w:t>Assam</w:t>
            </w:r>
          </w:p>
        </w:tc>
        <w:tc>
          <w:tcPr>
            <w:tcW w:w="1560" w:type="dxa"/>
          </w:tcPr>
          <w:p w14:paraId="76ADDF6B" w14:textId="764F4B5E"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33</w:t>
            </w:r>
          </w:p>
        </w:tc>
        <w:tc>
          <w:tcPr>
            <w:tcW w:w="1559" w:type="dxa"/>
          </w:tcPr>
          <w:p w14:paraId="3978EFE1" w14:textId="49877613"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813</w:t>
            </w:r>
          </w:p>
        </w:tc>
      </w:tr>
      <w:tr w:rsidR="00616915" w14:paraId="723C1D1E" w14:textId="6F976938" w:rsidTr="00481B83">
        <w:tc>
          <w:tcPr>
            <w:tcW w:w="823" w:type="dxa"/>
          </w:tcPr>
          <w:p w14:paraId="2D954F34" w14:textId="0471E7F8"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2</w:t>
            </w:r>
          </w:p>
        </w:tc>
        <w:tc>
          <w:tcPr>
            <w:tcW w:w="2268" w:type="dxa"/>
          </w:tcPr>
          <w:p w14:paraId="540C56C1" w14:textId="04A285F7" w:rsidR="00616915" w:rsidRDefault="00616915" w:rsidP="00481B83">
            <w:pPr>
              <w:pStyle w:val="NoSpacing"/>
              <w:contextualSpacing/>
              <w:jc w:val="both"/>
              <w:rPr>
                <w:rFonts w:ascii="Calibri" w:hAnsi="Calibri" w:cs="Calibri"/>
                <w:bCs/>
                <w:sz w:val="24"/>
                <w:szCs w:val="24"/>
              </w:rPr>
            </w:pPr>
            <w:r>
              <w:rPr>
                <w:rFonts w:ascii="Calibri" w:hAnsi="Calibri" w:cs="Calibri"/>
                <w:bCs/>
                <w:sz w:val="24"/>
                <w:szCs w:val="24"/>
              </w:rPr>
              <w:t>Arunachal Pradesh</w:t>
            </w:r>
          </w:p>
        </w:tc>
        <w:tc>
          <w:tcPr>
            <w:tcW w:w="1560" w:type="dxa"/>
          </w:tcPr>
          <w:p w14:paraId="78691449" w14:textId="47BC3ADA"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2</w:t>
            </w:r>
          </w:p>
        </w:tc>
        <w:tc>
          <w:tcPr>
            <w:tcW w:w="1559" w:type="dxa"/>
          </w:tcPr>
          <w:p w14:paraId="1EAC8B6C" w14:textId="4EC84539"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10</w:t>
            </w:r>
          </w:p>
        </w:tc>
      </w:tr>
      <w:tr w:rsidR="00616915" w14:paraId="2EAF3164" w14:textId="5C6D6E4C" w:rsidTr="00481B83">
        <w:tc>
          <w:tcPr>
            <w:tcW w:w="823" w:type="dxa"/>
          </w:tcPr>
          <w:p w14:paraId="0735F79F" w14:textId="4152834F" w:rsidR="00616915" w:rsidRDefault="00616915" w:rsidP="00481B83">
            <w:pPr>
              <w:pStyle w:val="NoSpacing"/>
              <w:contextualSpacing/>
              <w:jc w:val="center"/>
              <w:rPr>
                <w:rFonts w:ascii="Calibri" w:hAnsi="Calibri" w:cs="Calibri"/>
                <w:bCs/>
                <w:sz w:val="24"/>
                <w:szCs w:val="24"/>
              </w:rPr>
            </w:pPr>
            <w:r>
              <w:rPr>
                <w:rFonts w:ascii="Calibri" w:hAnsi="Calibri" w:cs="Calibri"/>
                <w:bCs/>
                <w:sz w:val="24"/>
                <w:szCs w:val="24"/>
              </w:rPr>
              <w:t>3</w:t>
            </w:r>
          </w:p>
        </w:tc>
        <w:tc>
          <w:tcPr>
            <w:tcW w:w="2268" w:type="dxa"/>
          </w:tcPr>
          <w:p w14:paraId="3C693BA5" w14:textId="26D44B4E" w:rsidR="00616915" w:rsidRDefault="00481B83" w:rsidP="00481B83">
            <w:pPr>
              <w:pStyle w:val="NoSpacing"/>
              <w:contextualSpacing/>
              <w:jc w:val="both"/>
              <w:rPr>
                <w:rFonts w:ascii="Calibri" w:hAnsi="Calibri" w:cs="Calibri"/>
                <w:bCs/>
                <w:sz w:val="24"/>
                <w:szCs w:val="24"/>
              </w:rPr>
            </w:pPr>
            <w:r>
              <w:rPr>
                <w:rFonts w:ascii="Calibri" w:hAnsi="Calibri" w:cs="Calibri"/>
                <w:bCs/>
                <w:sz w:val="24"/>
                <w:szCs w:val="24"/>
              </w:rPr>
              <w:t>Manipur</w:t>
            </w:r>
          </w:p>
        </w:tc>
        <w:tc>
          <w:tcPr>
            <w:tcW w:w="1560" w:type="dxa"/>
          </w:tcPr>
          <w:p w14:paraId="2C21FB37" w14:textId="3959C342"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w:t>
            </w:r>
          </w:p>
        </w:tc>
        <w:tc>
          <w:tcPr>
            <w:tcW w:w="1559" w:type="dxa"/>
          </w:tcPr>
          <w:p w14:paraId="6D2D3F0F" w14:textId="18B20CD9"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50</w:t>
            </w:r>
          </w:p>
        </w:tc>
      </w:tr>
      <w:tr w:rsidR="00616915" w14:paraId="4E7B029C" w14:textId="7BD92066" w:rsidTr="00481B83">
        <w:tc>
          <w:tcPr>
            <w:tcW w:w="823" w:type="dxa"/>
          </w:tcPr>
          <w:p w14:paraId="12069CF4" w14:textId="1F03761A"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4</w:t>
            </w:r>
          </w:p>
        </w:tc>
        <w:tc>
          <w:tcPr>
            <w:tcW w:w="2268" w:type="dxa"/>
          </w:tcPr>
          <w:p w14:paraId="22BFE507" w14:textId="53A5185D" w:rsidR="00616915" w:rsidRDefault="00481B83" w:rsidP="00481B83">
            <w:pPr>
              <w:pStyle w:val="NoSpacing"/>
              <w:contextualSpacing/>
              <w:jc w:val="both"/>
              <w:rPr>
                <w:rFonts w:ascii="Calibri" w:hAnsi="Calibri" w:cs="Calibri"/>
                <w:bCs/>
                <w:sz w:val="24"/>
                <w:szCs w:val="24"/>
              </w:rPr>
            </w:pPr>
            <w:r>
              <w:rPr>
                <w:rFonts w:ascii="Calibri" w:hAnsi="Calibri" w:cs="Calibri"/>
                <w:bCs/>
                <w:sz w:val="24"/>
                <w:szCs w:val="24"/>
              </w:rPr>
              <w:t>Meghalaya</w:t>
            </w:r>
          </w:p>
        </w:tc>
        <w:tc>
          <w:tcPr>
            <w:tcW w:w="1560" w:type="dxa"/>
          </w:tcPr>
          <w:p w14:paraId="36C213B6" w14:textId="7FA484FE"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w:t>
            </w:r>
          </w:p>
        </w:tc>
        <w:tc>
          <w:tcPr>
            <w:tcW w:w="1559" w:type="dxa"/>
          </w:tcPr>
          <w:p w14:paraId="53BCF64B" w14:textId="3A7210A7"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10</w:t>
            </w:r>
          </w:p>
        </w:tc>
      </w:tr>
      <w:tr w:rsidR="00616915" w14:paraId="0340C452" w14:textId="13418439" w:rsidTr="00481B83">
        <w:tc>
          <w:tcPr>
            <w:tcW w:w="823" w:type="dxa"/>
          </w:tcPr>
          <w:p w14:paraId="601FFE2D" w14:textId="62D6933E"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5</w:t>
            </w:r>
          </w:p>
        </w:tc>
        <w:tc>
          <w:tcPr>
            <w:tcW w:w="2268" w:type="dxa"/>
          </w:tcPr>
          <w:p w14:paraId="4666E694" w14:textId="318AEC00" w:rsidR="00616915" w:rsidRDefault="00481B83" w:rsidP="00481B83">
            <w:pPr>
              <w:pStyle w:val="NoSpacing"/>
              <w:contextualSpacing/>
              <w:jc w:val="both"/>
              <w:rPr>
                <w:rFonts w:ascii="Calibri" w:hAnsi="Calibri" w:cs="Calibri"/>
                <w:bCs/>
                <w:sz w:val="24"/>
                <w:szCs w:val="24"/>
              </w:rPr>
            </w:pPr>
            <w:r>
              <w:rPr>
                <w:rFonts w:ascii="Calibri" w:hAnsi="Calibri" w:cs="Calibri"/>
                <w:bCs/>
                <w:sz w:val="24"/>
                <w:szCs w:val="24"/>
              </w:rPr>
              <w:t>Nagaland</w:t>
            </w:r>
          </w:p>
        </w:tc>
        <w:tc>
          <w:tcPr>
            <w:tcW w:w="1560" w:type="dxa"/>
          </w:tcPr>
          <w:p w14:paraId="74A89A9F" w14:textId="398C9371"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2</w:t>
            </w:r>
          </w:p>
        </w:tc>
        <w:tc>
          <w:tcPr>
            <w:tcW w:w="1559" w:type="dxa"/>
          </w:tcPr>
          <w:p w14:paraId="537A448A" w14:textId="0571B12F" w:rsidR="00616915"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35</w:t>
            </w:r>
          </w:p>
        </w:tc>
      </w:tr>
      <w:tr w:rsidR="00481B83" w14:paraId="2F6E9694" w14:textId="77777777" w:rsidTr="00481B83">
        <w:tc>
          <w:tcPr>
            <w:tcW w:w="823" w:type="dxa"/>
          </w:tcPr>
          <w:p w14:paraId="5B869D64" w14:textId="5CDB9C85"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6</w:t>
            </w:r>
          </w:p>
        </w:tc>
        <w:tc>
          <w:tcPr>
            <w:tcW w:w="2268" w:type="dxa"/>
          </w:tcPr>
          <w:p w14:paraId="5650FF4F" w14:textId="2661A9BB" w:rsidR="00481B83" w:rsidRDefault="00481B83" w:rsidP="00481B83">
            <w:pPr>
              <w:pStyle w:val="NoSpacing"/>
              <w:contextualSpacing/>
              <w:jc w:val="both"/>
              <w:rPr>
                <w:rFonts w:ascii="Calibri" w:hAnsi="Calibri" w:cs="Calibri"/>
                <w:bCs/>
                <w:sz w:val="24"/>
                <w:szCs w:val="24"/>
              </w:rPr>
            </w:pPr>
            <w:r>
              <w:rPr>
                <w:rFonts w:ascii="Calibri" w:hAnsi="Calibri" w:cs="Calibri"/>
                <w:bCs/>
                <w:sz w:val="24"/>
                <w:szCs w:val="24"/>
              </w:rPr>
              <w:t>Sikkim</w:t>
            </w:r>
          </w:p>
        </w:tc>
        <w:tc>
          <w:tcPr>
            <w:tcW w:w="1560" w:type="dxa"/>
          </w:tcPr>
          <w:p w14:paraId="7C5F6ECF" w14:textId="0BB93651"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w:t>
            </w:r>
          </w:p>
        </w:tc>
        <w:tc>
          <w:tcPr>
            <w:tcW w:w="1559" w:type="dxa"/>
          </w:tcPr>
          <w:p w14:paraId="742AF7BA" w14:textId="5CB5E56F"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15</w:t>
            </w:r>
          </w:p>
        </w:tc>
      </w:tr>
      <w:tr w:rsidR="00481B83" w14:paraId="6C3E5BAA" w14:textId="77777777" w:rsidTr="00481B83">
        <w:tc>
          <w:tcPr>
            <w:tcW w:w="823" w:type="dxa"/>
          </w:tcPr>
          <w:p w14:paraId="7E8A8D7C" w14:textId="701082D7"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7</w:t>
            </w:r>
          </w:p>
        </w:tc>
        <w:tc>
          <w:tcPr>
            <w:tcW w:w="2268" w:type="dxa"/>
          </w:tcPr>
          <w:p w14:paraId="2462D5F8" w14:textId="7D3CEB53" w:rsidR="00481B83" w:rsidRDefault="00481B83" w:rsidP="00481B83">
            <w:pPr>
              <w:pStyle w:val="NoSpacing"/>
              <w:contextualSpacing/>
              <w:jc w:val="both"/>
              <w:rPr>
                <w:rFonts w:ascii="Calibri" w:hAnsi="Calibri" w:cs="Calibri"/>
                <w:bCs/>
                <w:sz w:val="24"/>
                <w:szCs w:val="24"/>
              </w:rPr>
            </w:pPr>
            <w:r>
              <w:rPr>
                <w:rFonts w:ascii="Calibri" w:hAnsi="Calibri" w:cs="Calibri"/>
                <w:bCs/>
                <w:sz w:val="24"/>
                <w:szCs w:val="24"/>
              </w:rPr>
              <w:t>Tripura</w:t>
            </w:r>
          </w:p>
        </w:tc>
        <w:tc>
          <w:tcPr>
            <w:tcW w:w="1560" w:type="dxa"/>
          </w:tcPr>
          <w:p w14:paraId="7EB751BF" w14:textId="251CD833"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1</w:t>
            </w:r>
          </w:p>
        </w:tc>
        <w:tc>
          <w:tcPr>
            <w:tcW w:w="1559" w:type="dxa"/>
          </w:tcPr>
          <w:p w14:paraId="59C8179A" w14:textId="0EE6394C"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25</w:t>
            </w:r>
          </w:p>
        </w:tc>
      </w:tr>
      <w:tr w:rsidR="00481B83" w14:paraId="37C075D7" w14:textId="77777777" w:rsidTr="00481B83">
        <w:tc>
          <w:tcPr>
            <w:tcW w:w="823" w:type="dxa"/>
          </w:tcPr>
          <w:p w14:paraId="7DFC5D7B" w14:textId="6D757DBD"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8</w:t>
            </w:r>
          </w:p>
        </w:tc>
        <w:tc>
          <w:tcPr>
            <w:tcW w:w="2268" w:type="dxa"/>
          </w:tcPr>
          <w:p w14:paraId="559B22D4" w14:textId="57DB10B9" w:rsidR="00481B83" w:rsidRDefault="00481B83" w:rsidP="00481B83">
            <w:pPr>
              <w:pStyle w:val="NoSpacing"/>
              <w:contextualSpacing/>
              <w:jc w:val="both"/>
              <w:rPr>
                <w:rFonts w:ascii="Calibri" w:hAnsi="Calibri" w:cs="Calibri"/>
                <w:bCs/>
                <w:sz w:val="24"/>
                <w:szCs w:val="24"/>
              </w:rPr>
            </w:pPr>
            <w:r>
              <w:rPr>
                <w:rFonts w:ascii="Calibri" w:hAnsi="Calibri" w:cs="Calibri"/>
                <w:bCs/>
                <w:sz w:val="24"/>
                <w:szCs w:val="24"/>
              </w:rPr>
              <w:t>Total</w:t>
            </w:r>
          </w:p>
        </w:tc>
        <w:tc>
          <w:tcPr>
            <w:tcW w:w="1560" w:type="dxa"/>
          </w:tcPr>
          <w:p w14:paraId="3B9415A1" w14:textId="260002ED"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41</w:t>
            </w:r>
          </w:p>
        </w:tc>
        <w:tc>
          <w:tcPr>
            <w:tcW w:w="1559" w:type="dxa"/>
          </w:tcPr>
          <w:p w14:paraId="3B0E8992" w14:textId="5CA1C727" w:rsidR="00481B83" w:rsidRDefault="00481B83" w:rsidP="00481B83">
            <w:pPr>
              <w:pStyle w:val="NoSpacing"/>
              <w:contextualSpacing/>
              <w:jc w:val="center"/>
              <w:rPr>
                <w:rFonts w:ascii="Calibri" w:hAnsi="Calibri" w:cs="Calibri"/>
                <w:bCs/>
                <w:sz w:val="24"/>
                <w:szCs w:val="24"/>
              </w:rPr>
            </w:pPr>
            <w:r>
              <w:rPr>
                <w:rFonts w:ascii="Calibri" w:hAnsi="Calibri" w:cs="Calibri"/>
                <w:bCs/>
                <w:sz w:val="24"/>
                <w:szCs w:val="24"/>
              </w:rPr>
              <w:t>958</w:t>
            </w:r>
          </w:p>
        </w:tc>
      </w:tr>
    </w:tbl>
    <w:p w14:paraId="3A083AA0" w14:textId="77777777" w:rsidR="00616915" w:rsidRDefault="00616915" w:rsidP="00616915">
      <w:pPr>
        <w:pStyle w:val="NoSpacing"/>
        <w:spacing w:after="120" w:line="264" w:lineRule="auto"/>
        <w:ind w:left="1440"/>
        <w:contextualSpacing/>
        <w:jc w:val="both"/>
        <w:rPr>
          <w:rFonts w:ascii="Calibri" w:hAnsi="Calibri" w:cs="Calibri"/>
          <w:bCs/>
          <w:sz w:val="24"/>
          <w:szCs w:val="24"/>
        </w:rPr>
      </w:pPr>
    </w:p>
    <w:p w14:paraId="5DC369E9" w14:textId="112C2E7C" w:rsidR="00481B83" w:rsidRPr="00481B83" w:rsidRDefault="00481B83" w:rsidP="00481B83">
      <w:pPr>
        <w:pStyle w:val="NoSpacing"/>
        <w:numPr>
          <w:ilvl w:val="0"/>
          <w:numId w:val="3"/>
        </w:numPr>
        <w:spacing w:after="120" w:line="264" w:lineRule="auto"/>
        <w:contextualSpacing/>
        <w:jc w:val="both"/>
        <w:rPr>
          <w:rFonts w:ascii="Calibri" w:hAnsi="Calibri" w:cs="Calibri"/>
          <w:b/>
          <w:sz w:val="24"/>
          <w:szCs w:val="24"/>
        </w:rPr>
      </w:pPr>
      <w:r w:rsidRPr="00481B83">
        <w:rPr>
          <w:rFonts w:ascii="Calibri" w:hAnsi="Calibri" w:cs="Calibri"/>
          <w:b/>
          <w:sz w:val="24"/>
          <w:szCs w:val="24"/>
        </w:rPr>
        <w:t>Equity Funding:</w:t>
      </w:r>
    </w:p>
    <w:tbl>
      <w:tblPr>
        <w:tblStyle w:val="TableGrid"/>
        <w:tblW w:w="0" w:type="auto"/>
        <w:tblInd w:w="1440" w:type="dxa"/>
        <w:tblLook w:val="04A0" w:firstRow="1" w:lastRow="0" w:firstColumn="1" w:lastColumn="0" w:noHBand="0" w:noVBand="1"/>
      </w:tblPr>
      <w:tblGrid>
        <w:gridCol w:w="823"/>
        <w:gridCol w:w="2268"/>
        <w:gridCol w:w="1560"/>
        <w:gridCol w:w="1559"/>
      </w:tblGrid>
      <w:tr w:rsidR="00481B83" w14:paraId="0F95AB42" w14:textId="77777777" w:rsidTr="0079317C">
        <w:tc>
          <w:tcPr>
            <w:tcW w:w="823" w:type="dxa"/>
          </w:tcPr>
          <w:p w14:paraId="6F5A26DA" w14:textId="77777777"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Sl.</w:t>
            </w:r>
          </w:p>
        </w:tc>
        <w:tc>
          <w:tcPr>
            <w:tcW w:w="2268" w:type="dxa"/>
          </w:tcPr>
          <w:p w14:paraId="709173C6" w14:textId="77777777"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State</w:t>
            </w:r>
          </w:p>
        </w:tc>
        <w:tc>
          <w:tcPr>
            <w:tcW w:w="1560" w:type="dxa"/>
          </w:tcPr>
          <w:p w14:paraId="1713796E" w14:textId="77777777"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No. of Startups Supported</w:t>
            </w:r>
          </w:p>
        </w:tc>
        <w:tc>
          <w:tcPr>
            <w:tcW w:w="1559" w:type="dxa"/>
          </w:tcPr>
          <w:p w14:paraId="6126263C" w14:textId="77777777"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Fund commitment (Rs. Lakh)</w:t>
            </w:r>
          </w:p>
        </w:tc>
      </w:tr>
      <w:tr w:rsidR="00481B83" w14:paraId="5E499AE3" w14:textId="77777777" w:rsidTr="0079317C">
        <w:tc>
          <w:tcPr>
            <w:tcW w:w="823" w:type="dxa"/>
          </w:tcPr>
          <w:p w14:paraId="7BD7C62F" w14:textId="77777777"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1</w:t>
            </w:r>
          </w:p>
        </w:tc>
        <w:tc>
          <w:tcPr>
            <w:tcW w:w="2268" w:type="dxa"/>
          </w:tcPr>
          <w:p w14:paraId="1FDAF6A8" w14:textId="77777777" w:rsidR="00481B83" w:rsidRDefault="00481B83" w:rsidP="0079317C">
            <w:pPr>
              <w:pStyle w:val="NoSpacing"/>
              <w:contextualSpacing/>
              <w:jc w:val="both"/>
              <w:rPr>
                <w:rFonts w:ascii="Calibri" w:hAnsi="Calibri" w:cs="Calibri"/>
                <w:bCs/>
                <w:sz w:val="24"/>
                <w:szCs w:val="24"/>
              </w:rPr>
            </w:pPr>
            <w:r>
              <w:rPr>
                <w:rFonts w:ascii="Calibri" w:hAnsi="Calibri" w:cs="Calibri"/>
                <w:bCs/>
                <w:sz w:val="24"/>
                <w:szCs w:val="24"/>
              </w:rPr>
              <w:t>Assam</w:t>
            </w:r>
          </w:p>
        </w:tc>
        <w:tc>
          <w:tcPr>
            <w:tcW w:w="1560" w:type="dxa"/>
          </w:tcPr>
          <w:p w14:paraId="2E354EFE" w14:textId="2914EFE2"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4</w:t>
            </w:r>
          </w:p>
        </w:tc>
        <w:tc>
          <w:tcPr>
            <w:tcW w:w="1559" w:type="dxa"/>
          </w:tcPr>
          <w:p w14:paraId="4E243672" w14:textId="3782F410" w:rsidR="00481B83" w:rsidRDefault="00481B83" w:rsidP="0079317C">
            <w:pPr>
              <w:pStyle w:val="NoSpacing"/>
              <w:contextualSpacing/>
              <w:jc w:val="center"/>
              <w:rPr>
                <w:rFonts w:ascii="Calibri" w:hAnsi="Calibri" w:cs="Calibri"/>
                <w:bCs/>
                <w:sz w:val="24"/>
                <w:szCs w:val="24"/>
              </w:rPr>
            </w:pPr>
            <w:r>
              <w:rPr>
                <w:rFonts w:ascii="Calibri" w:hAnsi="Calibri" w:cs="Calibri"/>
                <w:bCs/>
                <w:sz w:val="24"/>
                <w:szCs w:val="24"/>
              </w:rPr>
              <w:t>1430</w:t>
            </w:r>
          </w:p>
        </w:tc>
      </w:tr>
    </w:tbl>
    <w:p w14:paraId="0718FDBE" w14:textId="77777777" w:rsidR="00481B83" w:rsidRDefault="00481B83" w:rsidP="00481B83">
      <w:pPr>
        <w:pStyle w:val="NoSpacing"/>
        <w:spacing w:after="120" w:line="264" w:lineRule="auto"/>
        <w:ind w:left="1440"/>
        <w:contextualSpacing/>
        <w:jc w:val="both"/>
        <w:rPr>
          <w:rFonts w:ascii="Calibri" w:hAnsi="Calibri" w:cs="Calibri"/>
          <w:bCs/>
          <w:sz w:val="24"/>
          <w:szCs w:val="24"/>
        </w:rPr>
      </w:pPr>
    </w:p>
    <w:p w14:paraId="66E0A368" w14:textId="67A41625" w:rsidR="00220260" w:rsidRDefault="00EE6527" w:rsidP="00616915">
      <w:pPr>
        <w:pStyle w:val="NoSpacing"/>
        <w:spacing w:after="120" w:line="264" w:lineRule="auto"/>
        <w:ind w:left="1440"/>
        <w:contextualSpacing/>
        <w:jc w:val="both"/>
        <w:rPr>
          <w:rFonts w:ascii="Calibri" w:hAnsi="Calibri" w:cs="Calibri"/>
          <w:bCs/>
          <w:sz w:val="24"/>
          <w:szCs w:val="24"/>
        </w:rPr>
      </w:pPr>
      <w:r w:rsidRPr="00EE6527">
        <w:rPr>
          <w:rFonts w:ascii="Calibri" w:hAnsi="Calibri" w:cs="Calibri"/>
          <w:bCs/>
          <w:sz w:val="24"/>
          <w:szCs w:val="24"/>
        </w:rPr>
        <w:t>In addition to grant and equity funding, NRL’s startup support program, iDEATION, also organizes startup meets, investor meets, hackathons, bootcamps, and acceleration programs. These initiatives help startups develop market linkages, connect with investors, and gain mentorship through incubation centers, strengthening the overall ecosystem in the Northeast region.</w:t>
      </w:r>
      <w:r w:rsidR="00992FD2">
        <w:rPr>
          <w:rFonts w:ascii="Calibri" w:hAnsi="Calibri" w:cs="Calibri"/>
          <w:bCs/>
          <w:sz w:val="24"/>
          <w:szCs w:val="24"/>
        </w:rPr>
        <w:t>]</w:t>
      </w:r>
    </w:p>
    <w:p w14:paraId="2C105F86" w14:textId="77777777" w:rsidR="00220260" w:rsidRDefault="00220260" w:rsidP="00220260">
      <w:pPr>
        <w:pStyle w:val="NoSpacing"/>
        <w:spacing w:after="120" w:line="264" w:lineRule="auto"/>
        <w:ind w:left="1440" w:hanging="1440"/>
        <w:contextualSpacing/>
        <w:jc w:val="both"/>
        <w:rPr>
          <w:rStyle w:val="size"/>
          <w:rFonts w:ascii="Calibri" w:hAnsi="Calibri" w:cs="Calibri"/>
          <w:bCs/>
          <w:color w:val="000000" w:themeColor="text1"/>
          <w:sz w:val="24"/>
          <w:szCs w:val="24"/>
        </w:rPr>
      </w:pPr>
    </w:p>
    <w:p w14:paraId="7E9D5629" w14:textId="68D9DEB1" w:rsidR="00F51D7E" w:rsidRPr="00475D04" w:rsidRDefault="00F51D7E" w:rsidP="00475D04">
      <w:pPr>
        <w:pStyle w:val="NoSpacing"/>
        <w:spacing w:after="120" w:line="264" w:lineRule="auto"/>
        <w:ind w:left="1440" w:hanging="1440"/>
        <w:contextualSpacing/>
        <w:jc w:val="both"/>
        <w:rPr>
          <w:rFonts w:ascii="Calibri" w:eastAsia="Times New Roman" w:hAnsi="Calibri"/>
          <w:b/>
          <w:color w:val="000000" w:themeColor="text1"/>
        </w:rPr>
      </w:pPr>
      <w:r w:rsidRPr="00B63C3A">
        <w:rPr>
          <w:rFonts w:ascii="Calibri" w:eastAsia="Times New Roman" w:hAnsi="Calibri" w:cs="Calibri"/>
          <w:b/>
          <w:color w:val="000000" w:themeColor="text1"/>
          <w:sz w:val="24"/>
          <w:szCs w:val="24"/>
        </w:rPr>
        <w:t>Q no. (</w:t>
      </w:r>
      <w:r w:rsidR="0088541A">
        <w:rPr>
          <w:rFonts w:ascii="Calibri" w:eastAsia="Times New Roman" w:hAnsi="Calibri" w:cs="Calibri"/>
          <w:b/>
          <w:color w:val="000000" w:themeColor="text1"/>
          <w:sz w:val="24"/>
          <w:szCs w:val="24"/>
        </w:rPr>
        <w:t>b</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413101">
        <w:rPr>
          <w:rFonts w:ascii="Calibri" w:eastAsia="Times New Roman" w:hAnsi="Calibri" w:cs="Calibri"/>
          <w:b/>
          <w:color w:val="000000" w:themeColor="text1"/>
          <w:sz w:val="24"/>
          <w:szCs w:val="24"/>
        </w:rPr>
        <w:t xml:space="preserve">the assistance provided by the central government in setting up </w:t>
      </w:r>
      <w:r w:rsidR="00896C25">
        <w:rPr>
          <w:rFonts w:ascii="Calibri" w:eastAsia="Times New Roman" w:hAnsi="Calibri" w:cs="Calibri"/>
          <w:b/>
          <w:color w:val="000000" w:themeColor="text1"/>
          <w:sz w:val="24"/>
          <w:szCs w:val="24"/>
        </w:rPr>
        <w:t>start-ups in the country</w:t>
      </w:r>
      <w:r>
        <w:rPr>
          <w:rFonts w:ascii="Calibri" w:eastAsia="Times New Roman" w:hAnsi="Calibri" w:cs="Calibri"/>
          <w:b/>
          <w:color w:val="000000" w:themeColor="text1"/>
          <w:sz w:val="24"/>
          <w:szCs w:val="24"/>
        </w:rPr>
        <w:t>;</w:t>
      </w:r>
      <w:r w:rsidR="00896C25">
        <w:rPr>
          <w:rFonts w:ascii="Calibri" w:eastAsia="Times New Roman" w:hAnsi="Calibri" w:cs="Calibri"/>
          <w:b/>
          <w:color w:val="000000" w:themeColor="text1"/>
          <w:sz w:val="24"/>
          <w:szCs w:val="24"/>
        </w:rPr>
        <w:t xml:space="preserve"> and</w:t>
      </w:r>
    </w:p>
    <w:p w14:paraId="5963BEA4" w14:textId="36C73DD6" w:rsidR="00BD2390" w:rsidRDefault="00F51D7E" w:rsidP="00925BA8">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1F522B53" w14:textId="2FBF70F2" w:rsidR="00767A02" w:rsidRPr="00C6278B" w:rsidRDefault="00767A02" w:rsidP="00925BA8">
      <w:pPr>
        <w:pStyle w:val="NoSpacing"/>
        <w:spacing w:after="120" w:line="264" w:lineRule="auto"/>
        <w:ind w:left="1440" w:hanging="1440"/>
        <w:contextualSpacing/>
        <w:jc w:val="both"/>
        <w:rPr>
          <w:rFonts w:ascii="Calibri" w:hAnsi="Calibri" w:cs="Calibri"/>
          <w:bCs/>
          <w:color w:val="000000" w:themeColor="text1"/>
          <w:sz w:val="24"/>
          <w:szCs w:val="24"/>
        </w:rPr>
      </w:pPr>
      <w:r w:rsidRPr="00C6278B">
        <w:rPr>
          <w:rFonts w:ascii="Calibri" w:hAnsi="Calibri" w:cs="Calibri"/>
          <w:bCs/>
          <w:color w:val="000000" w:themeColor="text1"/>
          <w:sz w:val="24"/>
          <w:szCs w:val="24"/>
        </w:rPr>
        <w:tab/>
        <w:t xml:space="preserve">[The assistance provided by NRL iDEATION </w:t>
      </w:r>
      <w:r w:rsidR="00C6278B" w:rsidRPr="00C6278B">
        <w:rPr>
          <w:rFonts w:ascii="Calibri" w:hAnsi="Calibri" w:cs="Calibri"/>
          <w:bCs/>
          <w:color w:val="000000" w:themeColor="text1"/>
          <w:sz w:val="24"/>
          <w:szCs w:val="24"/>
        </w:rPr>
        <w:t xml:space="preserve">is </w:t>
      </w:r>
      <w:r w:rsidR="00616915">
        <w:rPr>
          <w:rFonts w:ascii="Calibri" w:hAnsi="Calibri" w:cs="Calibri"/>
          <w:bCs/>
          <w:color w:val="000000" w:themeColor="text1"/>
          <w:sz w:val="24"/>
          <w:szCs w:val="24"/>
        </w:rPr>
        <w:t>replied in (a) above</w:t>
      </w:r>
      <w:r w:rsidR="004B2A9B">
        <w:rPr>
          <w:rFonts w:ascii="Calibri" w:hAnsi="Calibri" w:cs="Calibri"/>
          <w:bCs/>
          <w:color w:val="000000" w:themeColor="text1"/>
          <w:sz w:val="24"/>
          <w:szCs w:val="24"/>
        </w:rPr>
        <w:t>.</w:t>
      </w:r>
      <w:r w:rsidR="00C6278B" w:rsidRPr="00C6278B">
        <w:rPr>
          <w:rFonts w:ascii="Calibri" w:hAnsi="Calibri" w:cs="Calibri"/>
          <w:bCs/>
          <w:color w:val="000000" w:themeColor="text1"/>
          <w:sz w:val="24"/>
          <w:szCs w:val="24"/>
        </w:rPr>
        <w:t>]</w:t>
      </w:r>
    </w:p>
    <w:p w14:paraId="1B6EBF4C" w14:textId="77777777" w:rsidR="00AD7EE6" w:rsidRDefault="00AD7EE6" w:rsidP="00AD7EE6">
      <w:pPr>
        <w:rPr>
          <w:rFonts w:ascii="Verdana" w:hAnsi="Verdana"/>
          <w:color w:val="000000"/>
          <w:sz w:val="20"/>
          <w:szCs w:val="20"/>
        </w:rPr>
      </w:pPr>
    </w:p>
    <w:p w14:paraId="551C4B7A" w14:textId="3F08EA68" w:rsidR="0088541A" w:rsidRPr="00475D04" w:rsidRDefault="0088541A" w:rsidP="00475D04">
      <w:pPr>
        <w:pStyle w:val="NoSpacing"/>
        <w:spacing w:after="120" w:line="264" w:lineRule="auto"/>
        <w:ind w:left="1440" w:hanging="1440"/>
        <w:contextualSpacing/>
        <w:jc w:val="both"/>
        <w:rPr>
          <w:rFonts w:ascii="Calibri" w:eastAsia="Times New Roman" w:hAnsi="Calibri"/>
          <w:b/>
          <w:color w:val="000000" w:themeColor="text1"/>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c</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896C25">
        <w:rPr>
          <w:rFonts w:ascii="Calibri" w:eastAsia="Times New Roman" w:hAnsi="Calibri" w:cs="Calibri"/>
          <w:b/>
          <w:color w:val="000000" w:themeColor="text1"/>
          <w:sz w:val="24"/>
          <w:szCs w:val="24"/>
        </w:rPr>
        <w:t xml:space="preserve">the state-wise data on employment generated through starts-up </w:t>
      </w:r>
      <w:r w:rsidR="00BB028E">
        <w:rPr>
          <w:rFonts w:ascii="Calibri" w:eastAsia="Times New Roman" w:hAnsi="Calibri" w:cs="Calibri"/>
          <w:b/>
          <w:color w:val="000000" w:themeColor="text1"/>
          <w:sz w:val="24"/>
          <w:szCs w:val="24"/>
        </w:rPr>
        <w:t>in the country for the last three years?</w:t>
      </w:r>
      <w:r w:rsidR="003344CF">
        <w:rPr>
          <w:rFonts w:ascii="Calibri" w:eastAsia="Times New Roman" w:hAnsi="Calibri" w:cs="Calibri"/>
          <w:b/>
          <w:color w:val="000000" w:themeColor="text1"/>
          <w:sz w:val="24"/>
          <w:szCs w:val="24"/>
        </w:rPr>
        <w:t xml:space="preserve"> </w:t>
      </w:r>
    </w:p>
    <w:p w14:paraId="2219E0ED" w14:textId="44754005" w:rsidR="00C66F80" w:rsidRPr="00C66F80" w:rsidRDefault="0088541A" w:rsidP="00F53083">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4BDD1318" w14:textId="2B91EA1A" w:rsidR="00E624DF" w:rsidRPr="00E624DF" w:rsidRDefault="009A753A" w:rsidP="005607B1">
      <w:pPr>
        <w:pStyle w:val="NoSpacing"/>
        <w:spacing w:after="120" w:line="264" w:lineRule="auto"/>
        <w:ind w:left="1440" w:hanging="1440"/>
        <w:contextualSpacing/>
        <w:jc w:val="both"/>
        <w:rPr>
          <w:rFonts w:ascii="Calibri" w:eastAsia="Times New Roman" w:hAnsi="Calibri"/>
          <w:bCs/>
          <w:color w:val="000000" w:themeColor="text1"/>
        </w:rPr>
      </w:pPr>
      <w:r>
        <w:rPr>
          <w:rFonts w:ascii="Calibri" w:eastAsia="Times New Roman" w:hAnsi="Calibri" w:cs="Calibri"/>
          <w:b/>
          <w:color w:val="000000" w:themeColor="text1"/>
          <w:sz w:val="24"/>
          <w:szCs w:val="24"/>
        </w:rPr>
        <w:tab/>
      </w:r>
      <w:r w:rsidRPr="00E624DF">
        <w:rPr>
          <w:rFonts w:ascii="Calibri" w:hAnsi="Calibri" w:cs="Calibri"/>
          <w:bCs/>
          <w:color w:val="000000" w:themeColor="text1"/>
          <w:sz w:val="24"/>
          <w:szCs w:val="24"/>
        </w:rPr>
        <w:t>[</w:t>
      </w:r>
      <w:r w:rsidR="00E624DF" w:rsidRPr="00E624DF">
        <w:rPr>
          <w:rFonts w:ascii="Calibri" w:hAnsi="Calibri" w:cs="Calibri"/>
          <w:bCs/>
          <w:color w:val="000000" w:themeColor="text1"/>
          <w:sz w:val="24"/>
          <w:szCs w:val="24"/>
        </w:rPr>
        <w:t xml:space="preserve">NRL’s flagship startup support program – ‘NRL iDEATION’, since its inception in 2017, has financially supported </w:t>
      </w:r>
      <w:r w:rsidR="000B6826">
        <w:rPr>
          <w:rFonts w:ascii="Calibri" w:hAnsi="Calibri" w:cs="Calibri"/>
          <w:bCs/>
          <w:color w:val="000000" w:themeColor="text1"/>
          <w:sz w:val="24"/>
          <w:szCs w:val="24"/>
        </w:rPr>
        <w:t>65</w:t>
      </w:r>
      <w:r w:rsidR="00E624DF" w:rsidRPr="00E624DF">
        <w:rPr>
          <w:rFonts w:ascii="Calibri" w:hAnsi="Calibri" w:cs="Calibri"/>
          <w:bCs/>
          <w:color w:val="000000" w:themeColor="text1"/>
          <w:sz w:val="24"/>
          <w:szCs w:val="24"/>
        </w:rPr>
        <w:t xml:space="preserve"> startups from the northeast region through grants </w:t>
      </w:r>
      <w:r w:rsidR="00616915">
        <w:rPr>
          <w:rFonts w:ascii="Calibri" w:hAnsi="Calibri" w:cs="Calibri"/>
          <w:bCs/>
          <w:color w:val="000000" w:themeColor="text1"/>
          <w:sz w:val="24"/>
          <w:szCs w:val="24"/>
        </w:rPr>
        <w:t xml:space="preserve">(INR 15 crore) and equity investment (INR 14 crore). </w:t>
      </w:r>
      <w:r w:rsidR="00E624DF" w:rsidRPr="00E624DF">
        <w:rPr>
          <w:rFonts w:ascii="Calibri" w:hAnsi="Calibri" w:cs="Calibri"/>
          <w:bCs/>
          <w:color w:val="000000" w:themeColor="text1"/>
          <w:sz w:val="24"/>
          <w:szCs w:val="24"/>
        </w:rPr>
        <w:t xml:space="preserve">These </w:t>
      </w:r>
      <w:r w:rsidR="00616915">
        <w:rPr>
          <w:rFonts w:ascii="Calibri" w:hAnsi="Calibri" w:cs="Calibri"/>
          <w:bCs/>
          <w:color w:val="000000" w:themeColor="text1"/>
          <w:sz w:val="24"/>
          <w:szCs w:val="24"/>
        </w:rPr>
        <w:t xml:space="preserve">startup </w:t>
      </w:r>
      <w:r w:rsidR="00E624DF" w:rsidRPr="00E624DF">
        <w:rPr>
          <w:rFonts w:ascii="Calibri" w:hAnsi="Calibri" w:cs="Calibri"/>
          <w:bCs/>
          <w:color w:val="000000" w:themeColor="text1"/>
          <w:sz w:val="24"/>
          <w:szCs w:val="24"/>
        </w:rPr>
        <w:t xml:space="preserve">entrepreneurs have </w:t>
      </w:r>
      <w:r w:rsidR="000B6826">
        <w:rPr>
          <w:rFonts w:ascii="Calibri" w:hAnsi="Calibri" w:cs="Calibri"/>
          <w:bCs/>
          <w:color w:val="000000" w:themeColor="text1"/>
          <w:sz w:val="24"/>
          <w:szCs w:val="24"/>
        </w:rPr>
        <w:t xml:space="preserve">in turn </w:t>
      </w:r>
      <w:r w:rsidR="00E624DF" w:rsidRPr="00E624DF">
        <w:rPr>
          <w:rFonts w:ascii="Calibri" w:hAnsi="Calibri" w:cs="Calibri"/>
          <w:bCs/>
          <w:color w:val="000000" w:themeColor="text1"/>
          <w:sz w:val="24"/>
          <w:szCs w:val="24"/>
        </w:rPr>
        <w:t xml:space="preserve">generated </w:t>
      </w:r>
      <w:r w:rsidR="00616915">
        <w:rPr>
          <w:rFonts w:ascii="Calibri" w:hAnsi="Calibri" w:cs="Calibri"/>
          <w:bCs/>
          <w:color w:val="000000" w:themeColor="text1"/>
          <w:sz w:val="24"/>
          <w:szCs w:val="24"/>
        </w:rPr>
        <w:t>approximately</w:t>
      </w:r>
      <w:r w:rsidR="00E624DF" w:rsidRPr="00E624DF">
        <w:rPr>
          <w:rFonts w:ascii="Calibri" w:hAnsi="Calibri" w:cs="Calibri"/>
          <w:bCs/>
          <w:color w:val="000000" w:themeColor="text1"/>
          <w:sz w:val="24"/>
          <w:szCs w:val="24"/>
        </w:rPr>
        <w:t xml:space="preserve"> 1000+ direct </w:t>
      </w:r>
      <w:r w:rsidR="00616915">
        <w:rPr>
          <w:rFonts w:ascii="Calibri" w:hAnsi="Calibri" w:cs="Calibri"/>
          <w:bCs/>
          <w:color w:val="000000" w:themeColor="text1"/>
          <w:sz w:val="24"/>
          <w:szCs w:val="24"/>
        </w:rPr>
        <w:t>employment</w:t>
      </w:r>
      <w:r w:rsidR="00AF3451">
        <w:rPr>
          <w:rFonts w:ascii="Calibri" w:hAnsi="Calibri" w:cs="Calibri"/>
          <w:bCs/>
          <w:color w:val="000000" w:themeColor="text1"/>
          <w:sz w:val="24"/>
          <w:szCs w:val="24"/>
        </w:rPr>
        <w:t>.</w:t>
      </w:r>
      <w:r w:rsidR="00E624DF" w:rsidRPr="00E624DF">
        <w:rPr>
          <w:rFonts w:ascii="Calibri" w:hAnsi="Calibri" w:cs="Calibri"/>
          <w:bCs/>
          <w:color w:val="000000" w:themeColor="text1"/>
          <w:sz w:val="24"/>
          <w:szCs w:val="24"/>
        </w:rPr>
        <w:t>]</w:t>
      </w:r>
    </w:p>
    <w:p w14:paraId="120D8097" w14:textId="7B325249" w:rsidR="00DB61AD" w:rsidRPr="00C735C6" w:rsidRDefault="00DB61AD" w:rsidP="00BB028E">
      <w:pPr>
        <w:pStyle w:val="NoSpacing"/>
        <w:spacing w:after="120" w:line="264" w:lineRule="auto"/>
        <w:ind w:left="1440" w:hanging="1440"/>
        <w:contextualSpacing/>
        <w:jc w:val="both"/>
        <w:rPr>
          <w:rFonts w:ascii="Calibri" w:hAnsi="Calibri" w:cs="Calibri"/>
          <w:bCs/>
          <w:color w:val="000000" w:themeColor="text1"/>
          <w:sz w:val="24"/>
          <w:szCs w:val="24"/>
        </w:rPr>
      </w:pPr>
    </w:p>
    <w:p w14:paraId="3A318579" w14:textId="19E9DF7D" w:rsidR="00FB10BA" w:rsidRPr="00B63C3A" w:rsidRDefault="00FB10BA" w:rsidP="00FB10BA">
      <w:pPr>
        <w:tabs>
          <w:tab w:val="left" w:pos="1260"/>
        </w:tabs>
        <w:contextualSpacing/>
        <w:rPr>
          <w:rFonts w:ascii="Calibri" w:hAnsi="Calibri"/>
          <w:b/>
          <w:color w:val="000000" w:themeColor="text1"/>
          <w:u w:val="single"/>
        </w:rPr>
      </w:pPr>
      <w:r w:rsidRPr="00B63C3A">
        <w:rPr>
          <w:rFonts w:ascii="Calibri" w:hAnsi="Calibri"/>
          <w:b/>
          <w:color w:val="000000" w:themeColor="text1"/>
          <w:u w:val="single"/>
        </w:rPr>
        <w:t>Note for Supplementary</w:t>
      </w:r>
      <w:r w:rsidRPr="00B63C3A">
        <w:rPr>
          <w:rFonts w:ascii="Calibri" w:hAnsi="Calibri"/>
          <w:b/>
          <w:color w:val="000000" w:themeColor="text1"/>
        </w:rPr>
        <w:t>:</w:t>
      </w:r>
      <w:r w:rsidRPr="00B63C3A">
        <w:rPr>
          <w:rFonts w:ascii="Calibri" w:hAnsi="Calibri"/>
          <w:b/>
          <w:color w:val="000000" w:themeColor="text1"/>
          <w:u w:val="single"/>
        </w:rPr>
        <w:t xml:space="preserve"> </w:t>
      </w:r>
    </w:p>
    <w:p w14:paraId="1765FE62" w14:textId="77777777" w:rsidR="00FB10BA" w:rsidRDefault="00FB10BA" w:rsidP="00FB10BA">
      <w:pPr>
        <w:pStyle w:val="NoSpacing"/>
        <w:jc w:val="both"/>
        <w:rPr>
          <w:rFonts w:ascii="Calibri" w:hAnsi="Calibri" w:cs="Calibri"/>
          <w:iCs/>
          <w:color w:val="000000" w:themeColor="text1"/>
          <w:sz w:val="24"/>
          <w:szCs w:val="24"/>
        </w:rPr>
      </w:pPr>
    </w:p>
    <w:p w14:paraId="18DA34F9" w14:textId="678FEC38" w:rsidR="00FB10BA" w:rsidRPr="00B63C3A" w:rsidRDefault="00FB10BA" w:rsidP="00FB10BA">
      <w:pPr>
        <w:pStyle w:val="NoSpacing"/>
        <w:jc w:val="both"/>
        <w:rPr>
          <w:rFonts w:ascii="Calibri" w:hAnsi="Calibri" w:cs="Calibri"/>
          <w:iCs/>
          <w:color w:val="000000" w:themeColor="text1"/>
          <w:sz w:val="24"/>
          <w:szCs w:val="24"/>
        </w:rPr>
      </w:pPr>
      <w:r w:rsidRPr="00B63C3A">
        <w:rPr>
          <w:rFonts w:ascii="Calibri" w:hAnsi="Calibri" w:cs="Calibri"/>
          <w:iCs/>
          <w:color w:val="000000" w:themeColor="text1"/>
          <w:sz w:val="24"/>
          <w:szCs w:val="24"/>
        </w:rPr>
        <w:t>Numaligarh Refinery Limited (NRL) is a Public Sector Enterprise with a 3.0 MMTPA petroleum refinery at Numaligarh in Golaghat district of Assam. Present shareholding pattern of NRL is Oil India Limited (OIL) – 69.63%, Govt. of Assam (GoA) – 26% and Engineers India Ltd (EIL) – 4.37%.</w:t>
      </w:r>
    </w:p>
    <w:p w14:paraId="40DC0E45" w14:textId="180E61E0" w:rsidR="0088541A" w:rsidRDefault="00FB10BA" w:rsidP="00FB10BA">
      <w:pPr>
        <w:jc w:val="center"/>
        <w:rPr>
          <w:rFonts w:ascii="Verdana" w:hAnsi="Verdana"/>
          <w:color w:val="000000"/>
          <w:sz w:val="20"/>
          <w:szCs w:val="20"/>
        </w:rPr>
      </w:pPr>
      <w:r>
        <w:rPr>
          <w:rFonts w:ascii="Verdana" w:hAnsi="Verdana"/>
          <w:color w:val="000000"/>
          <w:sz w:val="20"/>
          <w:szCs w:val="20"/>
        </w:rPr>
        <w:t>***</w:t>
      </w:r>
    </w:p>
    <w:sectPr w:rsidR="00885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37E"/>
    <w:multiLevelType w:val="hybridMultilevel"/>
    <w:tmpl w:val="743A59D8"/>
    <w:lvl w:ilvl="0" w:tplc="31B8E0C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4749EC"/>
    <w:multiLevelType w:val="hybridMultilevel"/>
    <w:tmpl w:val="315AA778"/>
    <w:lvl w:ilvl="0" w:tplc="99EC698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72671E53"/>
    <w:multiLevelType w:val="hybridMultilevel"/>
    <w:tmpl w:val="01E651EE"/>
    <w:lvl w:ilvl="0" w:tplc="D84C8342">
      <w:start w:val="1"/>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16cid:durableId="1301494462">
    <w:abstractNumId w:val="0"/>
  </w:num>
  <w:num w:numId="2" w16cid:durableId="1343361549">
    <w:abstractNumId w:val="1"/>
  </w:num>
  <w:num w:numId="3" w16cid:durableId="5278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E6"/>
    <w:rsid w:val="0000000E"/>
    <w:rsid w:val="00016760"/>
    <w:rsid w:val="00032A59"/>
    <w:rsid w:val="00093BED"/>
    <w:rsid w:val="000B6826"/>
    <w:rsid w:val="000C3E08"/>
    <w:rsid w:val="000D08AB"/>
    <w:rsid w:val="0019087C"/>
    <w:rsid w:val="001C2F9D"/>
    <w:rsid w:val="00201DE1"/>
    <w:rsid w:val="00220260"/>
    <w:rsid w:val="0023097B"/>
    <w:rsid w:val="002332C5"/>
    <w:rsid w:val="00292EBB"/>
    <w:rsid w:val="002D41B2"/>
    <w:rsid w:val="00303B5E"/>
    <w:rsid w:val="0031081E"/>
    <w:rsid w:val="003344CF"/>
    <w:rsid w:val="00363877"/>
    <w:rsid w:val="003D6C1B"/>
    <w:rsid w:val="00413101"/>
    <w:rsid w:val="00453F2C"/>
    <w:rsid w:val="00475D04"/>
    <w:rsid w:val="00481195"/>
    <w:rsid w:val="00481B83"/>
    <w:rsid w:val="004B2A9B"/>
    <w:rsid w:val="004C165C"/>
    <w:rsid w:val="004F562E"/>
    <w:rsid w:val="00503854"/>
    <w:rsid w:val="005607B1"/>
    <w:rsid w:val="005A6794"/>
    <w:rsid w:val="005C4C8A"/>
    <w:rsid w:val="00616915"/>
    <w:rsid w:val="006A5A1E"/>
    <w:rsid w:val="006E14B7"/>
    <w:rsid w:val="00767A02"/>
    <w:rsid w:val="00776D22"/>
    <w:rsid w:val="007E0D23"/>
    <w:rsid w:val="007E2C74"/>
    <w:rsid w:val="007E7FFB"/>
    <w:rsid w:val="00805E5F"/>
    <w:rsid w:val="0082411F"/>
    <w:rsid w:val="00862EA7"/>
    <w:rsid w:val="0088541A"/>
    <w:rsid w:val="00896C25"/>
    <w:rsid w:val="008E1BEA"/>
    <w:rsid w:val="008E57F2"/>
    <w:rsid w:val="00925BA8"/>
    <w:rsid w:val="00992FD2"/>
    <w:rsid w:val="00995FDB"/>
    <w:rsid w:val="009A1542"/>
    <w:rsid w:val="009A753A"/>
    <w:rsid w:val="00A502BF"/>
    <w:rsid w:val="00A8233A"/>
    <w:rsid w:val="00AD7EE6"/>
    <w:rsid w:val="00AE2927"/>
    <w:rsid w:val="00AF3451"/>
    <w:rsid w:val="00B31981"/>
    <w:rsid w:val="00B45248"/>
    <w:rsid w:val="00B51409"/>
    <w:rsid w:val="00BB028E"/>
    <w:rsid w:val="00BD2390"/>
    <w:rsid w:val="00C04500"/>
    <w:rsid w:val="00C47F4B"/>
    <w:rsid w:val="00C54306"/>
    <w:rsid w:val="00C6278B"/>
    <w:rsid w:val="00C66F80"/>
    <w:rsid w:val="00C735C6"/>
    <w:rsid w:val="00C9554E"/>
    <w:rsid w:val="00CF01FF"/>
    <w:rsid w:val="00D12D00"/>
    <w:rsid w:val="00D72E09"/>
    <w:rsid w:val="00D90307"/>
    <w:rsid w:val="00DB61AD"/>
    <w:rsid w:val="00E42DEF"/>
    <w:rsid w:val="00E624DF"/>
    <w:rsid w:val="00E71DCB"/>
    <w:rsid w:val="00ED0A9A"/>
    <w:rsid w:val="00EE6527"/>
    <w:rsid w:val="00F04898"/>
    <w:rsid w:val="00F153D2"/>
    <w:rsid w:val="00F245CF"/>
    <w:rsid w:val="00F351B2"/>
    <w:rsid w:val="00F51D7E"/>
    <w:rsid w:val="00F53083"/>
    <w:rsid w:val="00F82642"/>
    <w:rsid w:val="00FB10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2B0C"/>
  <w15:chartTrackingRefBased/>
  <w15:docId w15:val="{B7970A9C-8062-4CDF-AB4E-F13E2952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E6"/>
    <w:pPr>
      <w:spacing w:after="0" w:line="240" w:lineRule="auto"/>
    </w:pPr>
    <w:rPr>
      <w:rFonts w:ascii="Aptos" w:hAnsi="Aptos" w:cs="Calibri"/>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AD7EE6"/>
  </w:style>
  <w:style w:type="paragraph" w:styleId="ListParagraph">
    <w:name w:val="List Paragraph"/>
    <w:aliases w:val="heading 9,1st Head"/>
    <w:basedOn w:val="Normal"/>
    <w:link w:val="ListParagraphChar"/>
    <w:uiPriority w:val="34"/>
    <w:qFormat/>
    <w:rsid w:val="00AD7EE6"/>
    <w:pPr>
      <w:ind w:left="720"/>
      <w:contextualSpacing/>
    </w:pPr>
  </w:style>
  <w:style w:type="paragraph" w:styleId="NoSpacing">
    <w:name w:val="No Spacing"/>
    <w:uiPriority w:val="1"/>
    <w:qFormat/>
    <w:rsid w:val="00292EBB"/>
    <w:pPr>
      <w:spacing w:after="0" w:line="240" w:lineRule="auto"/>
    </w:pPr>
    <w:rPr>
      <w:kern w:val="2"/>
      <w14:ligatures w14:val="standardContextual"/>
    </w:rPr>
  </w:style>
  <w:style w:type="character" w:customStyle="1" w:styleId="ListParagraphChar">
    <w:name w:val="List Paragraph Char"/>
    <w:aliases w:val="heading 9 Char,1st Head Char"/>
    <w:basedOn w:val="DefaultParagraphFont"/>
    <w:link w:val="ListParagraph"/>
    <w:uiPriority w:val="34"/>
    <w:locked/>
    <w:rsid w:val="002D41B2"/>
    <w:rPr>
      <w:rFonts w:ascii="Aptos" w:hAnsi="Aptos" w:cs="Calibri"/>
      <w:sz w:val="24"/>
      <w:szCs w:val="24"/>
      <w:lang w:eastAsia="en-IN"/>
    </w:rPr>
  </w:style>
  <w:style w:type="table" w:styleId="TableGrid">
    <w:name w:val="Table Grid"/>
    <w:basedOn w:val="TableNormal"/>
    <w:uiPriority w:val="39"/>
    <w:rsid w:val="0061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257">
      <w:bodyDiv w:val="1"/>
      <w:marLeft w:val="0"/>
      <w:marRight w:val="0"/>
      <w:marTop w:val="0"/>
      <w:marBottom w:val="0"/>
      <w:divBdr>
        <w:top w:val="none" w:sz="0" w:space="0" w:color="auto"/>
        <w:left w:val="none" w:sz="0" w:space="0" w:color="auto"/>
        <w:bottom w:val="none" w:sz="0" w:space="0" w:color="auto"/>
        <w:right w:val="none" w:sz="0" w:space="0" w:color="auto"/>
      </w:divBdr>
    </w:div>
    <w:div w:id="496112924">
      <w:bodyDiv w:val="1"/>
      <w:marLeft w:val="0"/>
      <w:marRight w:val="0"/>
      <w:marTop w:val="0"/>
      <w:marBottom w:val="0"/>
      <w:divBdr>
        <w:top w:val="none" w:sz="0" w:space="0" w:color="auto"/>
        <w:left w:val="none" w:sz="0" w:space="0" w:color="auto"/>
        <w:bottom w:val="none" w:sz="0" w:space="0" w:color="auto"/>
        <w:right w:val="none" w:sz="0" w:space="0" w:color="auto"/>
      </w:divBdr>
    </w:div>
    <w:div w:id="560944641">
      <w:bodyDiv w:val="1"/>
      <w:marLeft w:val="0"/>
      <w:marRight w:val="0"/>
      <w:marTop w:val="0"/>
      <w:marBottom w:val="0"/>
      <w:divBdr>
        <w:top w:val="none" w:sz="0" w:space="0" w:color="auto"/>
        <w:left w:val="none" w:sz="0" w:space="0" w:color="auto"/>
        <w:bottom w:val="none" w:sz="0" w:space="0" w:color="auto"/>
        <w:right w:val="none" w:sz="0" w:space="0" w:color="auto"/>
      </w:divBdr>
    </w:div>
    <w:div w:id="6047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Bhupen Bora [भुपेन बोरा]</dc:creator>
  <cp:keywords/>
  <dc:description/>
  <cp:lastModifiedBy>Akshay Jyoti Baruah [अक्षय ज्योति बरुवा]</cp:lastModifiedBy>
  <cp:revision>8</cp:revision>
  <dcterms:created xsi:type="dcterms:W3CDTF">2025-03-21T14:31:00Z</dcterms:created>
  <dcterms:modified xsi:type="dcterms:W3CDTF">2025-03-21T15:02:00Z</dcterms:modified>
</cp:coreProperties>
</file>