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C9F17" w14:textId="28F8160B" w:rsidR="003926C7" w:rsidRPr="00D2778E" w:rsidRDefault="003926C7" w:rsidP="003926C7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Reply to Parliament Question No </w:t>
      </w:r>
      <w:r w:rsidR="000872E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10359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for </w:t>
      </w:r>
      <w:r w:rsidR="00672067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1</w:t>
      </w:r>
      <w:r w:rsidR="000872E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8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.</w:t>
      </w:r>
      <w:r w:rsidR="00C9620F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1</w:t>
      </w:r>
      <w:r w:rsidR="0036727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2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.2024 for </w:t>
      </w:r>
      <w:r w:rsidR="00372AE2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Lok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Sabha regarding “</w:t>
      </w:r>
      <w:r w:rsidR="000872EE" w:rsidRPr="000872E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Statistics and Programme Implementation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” in respect of Numaligarh Refinery Limited (NRL):</w:t>
      </w:r>
    </w:p>
    <w:p w14:paraId="49800E12" w14:textId="77777777" w:rsidR="003926C7" w:rsidRPr="00D2778E" w:rsidRDefault="003926C7" w:rsidP="003926C7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0A8A4C6" w14:textId="0522CED2" w:rsidR="003926C7" w:rsidRPr="00D2778E" w:rsidRDefault="003926C7" w:rsidP="003926C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</w:t>
      </w:r>
      <w:r w:rsidR="009F0C3D">
        <w:rPr>
          <w:rFonts w:ascii="Calibri" w:eastAsia="Times New Roman" w:hAnsi="Calibri" w:cs="Calibri"/>
          <w:b/>
          <w:color w:val="000000"/>
          <w:sz w:val="24"/>
          <w:szCs w:val="24"/>
        </w:rPr>
        <w:t>a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087EF1">
        <w:rPr>
          <w:rFonts w:ascii="Calibri" w:hAnsi="Calibri" w:cs="Calibri"/>
          <w:b/>
          <w:color w:val="000000" w:themeColor="text1"/>
          <w:sz w:val="24"/>
          <w:szCs w:val="24"/>
        </w:rPr>
        <w:t xml:space="preserve">the reasons for the cost overrun of Rs. 5.01 lakh crore reported </w:t>
      </w:r>
      <w:r w:rsidR="0087277B">
        <w:rPr>
          <w:rFonts w:ascii="Calibri" w:hAnsi="Calibri" w:cs="Calibri"/>
          <w:b/>
          <w:color w:val="000000" w:themeColor="text1"/>
          <w:sz w:val="24"/>
          <w:szCs w:val="24"/>
        </w:rPr>
        <w:t xml:space="preserve">in 449 infrastructure projects as of March and the manner in which the Government </w:t>
      </w:r>
      <w:r w:rsidR="00852E66">
        <w:rPr>
          <w:rFonts w:ascii="Calibri" w:hAnsi="Calibri" w:cs="Calibri"/>
          <w:b/>
          <w:color w:val="000000" w:themeColor="text1"/>
          <w:sz w:val="24"/>
          <w:szCs w:val="24"/>
        </w:rPr>
        <w:t>plan to address the issue</w:t>
      </w:r>
      <w:r w:rsidR="00C11819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 w:rsidR="009F0C3D"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</w:p>
    <w:p w14:paraId="350C448D" w14:textId="271F0129" w:rsidR="00514053" w:rsidRDefault="00FB1F0F" w:rsidP="00022FC3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="00460D63"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EA5052"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42DB08FB" w14:textId="5C57F018" w:rsidR="007B4B55" w:rsidRPr="008C19C3" w:rsidRDefault="008C19C3" w:rsidP="00054511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8C19C3">
        <w:rPr>
          <w:rFonts w:ascii="Calibri" w:hAnsi="Calibri" w:cs="Calibri"/>
          <w:bCs/>
          <w:color w:val="000000" w:themeColor="text1"/>
          <w:sz w:val="24"/>
          <w:szCs w:val="24"/>
        </w:rPr>
        <w:t>[</w:t>
      </w:r>
      <w:r w:rsidR="008A4276">
        <w:rPr>
          <w:rFonts w:ascii="Calibri" w:hAnsi="Calibri" w:cs="Calibri"/>
          <w:bCs/>
          <w:color w:val="000000" w:themeColor="text1"/>
          <w:sz w:val="24"/>
          <w:szCs w:val="24"/>
        </w:rPr>
        <w:t>The reasons for the cost overrun projects of NRL are provided in the Annexure-I</w:t>
      </w:r>
      <w:r w:rsidR="00054511">
        <w:rPr>
          <w:rFonts w:ascii="Calibri" w:hAnsi="Calibri" w:cs="Calibri"/>
          <w:bCs/>
          <w:color w:val="000000" w:themeColor="text1"/>
          <w:sz w:val="24"/>
          <w:szCs w:val="24"/>
        </w:rPr>
        <w:t>.]</w:t>
      </w:r>
    </w:p>
    <w:p w14:paraId="2738CD3A" w14:textId="77777777" w:rsidR="003F1C76" w:rsidRPr="00A77C3D" w:rsidRDefault="003F1C76" w:rsidP="009B4EA0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sz w:val="24"/>
          <w:szCs w:val="24"/>
        </w:rPr>
      </w:pPr>
    </w:p>
    <w:p w14:paraId="6AB94C3C" w14:textId="4CA8DC93" w:rsidR="00512C56" w:rsidRDefault="008B2B97" w:rsidP="008B2B9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>b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852E66">
        <w:rPr>
          <w:rFonts w:ascii="Calibri" w:hAnsi="Calibri" w:cs="Calibri"/>
          <w:b/>
          <w:color w:val="000000" w:themeColor="text1"/>
          <w:sz w:val="24"/>
          <w:szCs w:val="24"/>
        </w:rPr>
        <w:t xml:space="preserve">whether the Government provide a sector and state-wise breakdown of </w:t>
      </w:r>
      <w:r w:rsidR="00C11819">
        <w:rPr>
          <w:rFonts w:ascii="Calibri" w:hAnsi="Calibri" w:cs="Calibri"/>
          <w:b/>
          <w:color w:val="000000" w:themeColor="text1"/>
          <w:sz w:val="24"/>
          <w:szCs w:val="24"/>
        </w:rPr>
        <w:t>these delayed and cost-overrun projects, along with their revised timelines for completion;</w:t>
      </w:r>
    </w:p>
    <w:p w14:paraId="0D457DC8" w14:textId="77777777" w:rsidR="008B2B97" w:rsidRDefault="008B2B97" w:rsidP="008B2B9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4431027F" w14:textId="04838AE7" w:rsidR="00C866D4" w:rsidRPr="00C866D4" w:rsidRDefault="00C866D4" w:rsidP="008B2B9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C866D4">
        <w:rPr>
          <w:rFonts w:ascii="Calibri" w:hAnsi="Calibri" w:cs="Calibri"/>
          <w:bCs/>
          <w:color w:val="000000" w:themeColor="text1"/>
          <w:sz w:val="24"/>
          <w:szCs w:val="24"/>
        </w:rPr>
        <w:tab/>
      </w:r>
      <w:r w:rsidR="00054511" w:rsidRPr="008C19C3">
        <w:rPr>
          <w:rFonts w:ascii="Calibri" w:hAnsi="Calibri" w:cs="Calibri"/>
          <w:bCs/>
          <w:color w:val="000000" w:themeColor="text1"/>
          <w:sz w:val="24"/>
          <w:szCs w:val="24"/>
        </w:rPr>
        <w:t>[</w:t>
      </w:r>
      <w:r w:rsidR="0005451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The reasons for the </w:t>
      </w:r>
      <w:r w:rsidR="00054511">
        <w:rPr>
          <w:rFonts w:ascii="Calibri" w:hAnsi="Calibri" w:cs="Calibri"/>
          <w:bCs/>
          <w:color w:val="000000" w:themeColor="text1"/>
          <w:sz w:val="24"/>
          <w:szCs w:val="24"/>
        </w:rPr>
        <w:t>time</w:t>
      </w:r>
      <w:r w:rsidR="0005451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overrun projects of NRL are provided in the Annexure-I.]</w:t>
      </w:r>
    </w:p>
    <w:p w14:paraId="09E043E9" w14:textId="77777777" w:rsidR="008A6AE2" w:rsidRDefault="008A6AE2" w:rsidP="008B2B9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5BD7DC62" w14:textId="13F02E56" w:rsidR="00C11819" w:rsidRDefault="00C11819" w:rsidP="00C11819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>c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7A09EB">
        <w:rPr>
          <w:rFonts w:ascii="Calibri" w:hAnsi="Calibri" w:cs="Calibri"/>
          <w:b/>
          <w:color w:val="000000" w:themeColor="text1"/>
          <w:sz w:val="24"/>
          <w:szCs w:val="24"/>
        </w:rPr>
        <w:t xml:space="preserve">the steps which mechanisms are monitor and mitigate cost escalations in infrastructure projects to ensure </w:t>
      </w:r>
      <w:r w:rsidR="000705ED">
        <w:rPr>
          <w:rFonts w:ascii="Calibri" w:hAnsi="Calibri" w:cs="Calibri"/>
          <w:b/>
          <w:color w:val="000000" w:themeColor="text1"/>
          <w:sz w:val="24"/>
          <w:szCs w:val="24"/>
        </w:rPr>
        <w:t>better financial discipline and timely execution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</w:p>
    <w:p w14:paraId="032E8062" w14:textId="77777777" w:rsidR="00C11819" w:rsidRDefault="00C11819" w:rsidP="00C11819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1E091011" w14:textId="03CAD8F2" w:rsidR="00E0291A" w:rsidRDefault="009043F2" w:rsidP="00265FDA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</w:rPr>
        <w:t xml:space="preserve">[The project is being monitored at the highest level </w:t>
      </w:r>
      <w:r w:rsidR="00F458CD">
        <w:rPr>
          <w:rFonts w:ascii="Calibri" w:hAnsi="Calibri" w:cs="Calibri"/>
          <w:bCs/>
          <w:color w:val="000000" w:themeColor="text1"/>
          <w:sz w:val="24"/>
          <w:szCs w:val="24"/>
        </w:rPr>
        <w:t>to mitigate delays, cost escalations. Period project review meetings are being con</w:t>
      </w:r>
      <w:r w:rsidR="00F94A9D">
        <w:rPr>
          <w:rFonts w:ascii="Calibri" w:hAnsi="Calibri" w:cs="Calibri"/>
          <w:bCs/>
          <w:color w:val="000000" w:themeColor="text1"/>
          <w:sz w:val="24"/>
          <w:szCs w:val="24"/>
        </w:rPr>
        <w:t xml:space="preserve">ducted to identify critical areas requiring urgent attention and </w:t>
      </w:r>
      <w:r w:rsidR="00DE6908">
        <w:rPr>
          <w:rFonts w:ascii="Calibri" w:hAnsi="Calibri" w:cs="Calibri"/>
          <w:bCs/>
          <w:color w:val="000000" w:themeColor="text1"/>
          <w:sz w:val="24"/>
          <w:szCs w:val="24"/>
        </w:rPr>
        <w:t>find out solutions to resolve such issues.]</w:t>
      </w:r>
    </w:p>
    <w:p w14:paraId="50F2FB8F" w14:textId="77777777" w:rsidR="009043F2" w:rsidRDefault="009043F2" w:rsidP="00E0291A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741BB898" w14:textId="7D57E325" w:rsidR="000705ED" w:rsidRDefault="000705ED" w:rsidP="000705ED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>d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whether </w:t>
      </w:r>
      <w:r w:rsidR="00193461">
        <w:rPr>
          <w:rFonts w:ascii="Calibri" w:hAnsi="Calibri" w:cs="Calibri"/>
          <w:b/>
          <w:color w:val="000000" w:themeColor="text1"/>
          <w:sz w:val="24"/>
          <w:szCs w:val="24"/>
        </w:rPr>
        <w:t xml:space="preserve">any specific steps being taken to avoid similar </w:t>
      </w:r>
      <w:r w:rsidR="00812EA6">
        <w:rPr>
          <w:rFonts w:ascii="Calibri" w:hAnsi="Calibri" w:cs="Calibri"/>
          <w:b/>
          <w:color w:val="000000" w:themeColor="text1"/>
          <w:sz w:val="24"/>
          <w:szCs w:val="24"/>
        </w:rPr>
        <w:t xml:space="preserve">cost overruns in future projects </w:t>
      </w:r>
      <w:r w:rsidR="00357120">
        <w:rPr>
          <w:rFonts w:ascii="Calibri" w:hAnsi="Calibri" w:cs="Calibri"/>
          <w:b/>
          <w:color w:val="000000" w:themeColor="text1"/>
          <w:sz w:val="24"/>
          <w:szCs w:val="24"/>
        </w:rPr>
        <w:t>in future projects, including reforms in project planning, execution, and inter-agency coordination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  <w:r w:rsidR="00357120">
        <w:rPr>
          <w:rFonts w:ascii="Calibri" w:hAnsi="Calibri" w:cs="Calibri"/>
          <w:b/>
          <w:color w:val="000000" w:themeColor="text1"/>
          <w:sz w:val="24"/>
          <w:szCs w:val="24"/>
        </w:rPr>
        <w:t xml:space="preserve"> and</w:t>
      </w:r>
    </w:p>
    <w:p w14:paraId="668599CA" w14:textId="77777777" w:rsidR="000705ED" w:rsidRDefault="000705ED" w:rsidP="000705ED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0C27F62C" w14:textId="77777777" w:rsidR="000705ED" w:rsidRDefault="000705ED" w:rsidP="00E0291A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0C429BCC" w14:textId="7D43A5F9" w:rsidR="00357120" w:rsidRDefault="00357120" w:rsidP="00357120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>e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the manner in which the Government plan to ensure accountability </w:t>
      </w:r>
      <w:r w:rsidR="006D1D76">
        <w:rPr>
          <w:rFonts w:ascii="Calibri" w:hAnsi="Calibri" w:cs="Calibri"/>
          <w:b/>
          <w:color w:val="000000" w:themeColor="text1"/>
          <w:sz w:val="24"/>
          <w:szCs w:val="24"/>
        </w:rPr>
        <w:t>for these overruns and prevent delays that significantly impact public resources and infrastructure development?</w:t>
      </w:r>
    </w:p>
    <w:p w14:paraId="725F873F" w14:textId="77777777" w:rsidR="00357120" w:rsidRDefault="00357120" w:rsidP="00357120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5A08521A" w14:textId="77777777" w:rsidR="00357120" w:rsidRDefault="00357120" w:rsidP="00E0291A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218E918E" w14:textId="77777777" w:rsidR="00294F1E" w:rsidRPr="00D2778E" w:rsidRDefault="00294F1E" w:rsidP="00294F1E">
      <w:pPr>
        <w:tabs>
          <w:tab w:val="left" w:pos="1260"/>
        </w:tabs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 w:rsidRPr="00D2778E">
        <w:rPr>
          <w:rFonts w:ascii="Calibri" w:hAnsi="Calibri" w:cs="Calibri"/>
          <w:b/>
          <w:sz w:val="24"/>
          <w:szCs w:val="24"/>
          <w:u w:val="single"/>
        </w:rPr>
        <w:t>Note for Supplementary</w:t>
      </w:r>
      <w:r w:rsidRPr="00D2778E">
        <w:rPr>
          <w:rFonts w:ascii="Calibri" w:hAnsi="Calibri" w:cs="Calibri"/>
          <w:b/>
          <w:sz w:val="24"/>
          <w:szCs w:val="24"/>
        </w:rPr>
        <w:t>:</w:t>
      </w:r>
      <w:r w:rsidRPr="00D2778E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14:paraId="7572BB17" w14:textId="77777777" w:rsidR="00294F1E" w:rsidRDefault="00294F1E" w:rsidP="00294F1E">
      <w:pPr>
        <w:pStyle w:val="NoSpacing"/>
        <w:jc w:val="both"/>
        <w:rPr>
          <w:rFonts w:ascii="Calibri" w:hAnsi="Calibri" w:cs="Calibri"/>
          <w:iCs/>
          <w:sz w:val="24"/>
          <w:szCs w:val="24"/>
        </w:rPr>
      </w:pPr>
      <w:r w:rsidRPr="00D2778E">
        <w:rPr>
          <w:rFonts w:ascii="Calibri" w:hAnsi="Calibri" w:cs="Calibri"/>
          <w:iCs/>
          <w:sz w:val="24"/>
          <w:szCs w:val="24"/>
        </w:rPr>
        <w:t>Numaligarh Refinery Limited (NRL) is a Public Sector Enterprise with a 3.0 MMTPA petroleum refinery at Numaligarh in Golaghat district of Assam. Present shareholding pattern of NRL is Oil India Limited (OIL) – 69.63%, Govt. of Assam (GoA) – 26% and Engineers India Ltd (EIL) – 4.37%.</w:t>
      </w:r>
    </w:p>
    <w:p w14:paraId="2F7E8813" w14:textId="77777777" w:rsidR="0092636C" w:rsidRDefault="0092636C" w:rsidP="00294F1E">
      <w:pPr>
        <w:pStyle w:val="NoSpacing"/>
        <w:jc w:val="both"/>
        <w:rPr>
          <w:rFonts w:ascii="Calibri" w:hAnsi="Calibri" w:cs="Calibri"/>
          <w:iCs/>
          <w:sz w:val="24"/>
          <w:szCs w:val="24"/>
        </w:rPr>
      </w:pPr>
    </w:p>
    <w:p w14:paraId="71CD33E6" w14:textId="135BC8C2" w:rsidR="0092636C" w:rsidRDefault="0092636C" w:rsidP="00294F1E">
      <w:pPr>
        <w:pStyle w:val="NoSpacing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lastRenderedPageBreak/>
        <w:t xml:space="preserve">NRL’s major infrastructure projects are </w:t>
      </w:r>
      <w:r w:rsidR="00143089">
        <w:rPr>
          <w:rFonts w:ascii="Calibri" w:hAnsi="Calibri" w:cs="Calibri"/>
          <w:iCs/>
          <w:sz w:val="24"/>
          <w:szCs w:val="24"/>
        </w:rPr>
        <w:t xml:space="preserve">generally </w:t>
      </w:r>
      <w:r>
        <w:rPr>
          <w:rFonts w:ascii="Calibri" w:hAnsi="Calibri" w:cs="Calibri"/>
          <w:iCs/>
          <w:sz w:val="24"/>
          <w:szCs w:val="24"/>
        </w:rPr>
        <w:t>being funded in a debt equity ratio of 70</w:t>
      </w:r>
      <w:r w:rsidR="00FF34DB">
        <w:rPr>
          <w:rFonts w:ascii="Calibri" w:hAnsi="Calibri" w:cs="Calibri"/>
          <w:iCs/>
          <w:sz w:val="24"/>
          <w:szCs w:val="24"/>
        </w:rPr>
        <w:t>:30 and debt is arranged through commercial borrowings.</w:t>
      </w:r>
      <w:r w:rsidR="00E97685">
        <w:rPr>
          <w:rFonts w:ascii="Calibri" w:hAnsi="Calibri" w:cs="Calibri"/>
          <w:iCs/>
          <w:sz w:val="24"/>
          <w:szCs w:val="24"/>
        </w:rPr>
        <w:t xml:space="preserve"> For the Numaligarh Refinery Expansion project, a term loan of Rs. 18</w:t>
      </w:r>
      <w:r w:rsidR="00FA6DEB">
        <w:rPr>
          <w:rFonts w:ascii="Calibri" w:hAnsi="Calibri" w:cs="Calibri"/>
          <w:iCs/>
          <w:sz w:val="24"/>
          <w:szCs w:val="24"/>
        </w:rPr>
        <w:t>,</w:t>
      </w:r>
      <w:r w:rsidR="00E97685">
        <w:rPr>
          <w:rFonts w:ascii="Calibri" w:hAnsi="Calibri" w:cs="Calibri"/>
          <w:iCs/>
          <w:sz w:val="24"/>
          <w:szCs w:val="24"/>
        </w:rPr>
        <w:t xml:space="preserve">904 crore </w:t>
      </w:r>
      <w:r w:rsidR="00C45501">
        <w:rPr>
          <w:rFonts w:ascii="Calibri" w:hAnsi="Calibri" w:cs="Calibri"/>
          <w:iCs/>
          <w:sz w:val="24"/>
          <w:szCs w:val="24"/>
        </w:rPr>
        <w:t xml:space="preserve">has been tied up with consortium of banks led by State Bank of India (SBI). </w:t>
      </w:r>
      <w:r w:rsidR="00B76AED">
        <w:rPr>
          <w:rFonts w:ascii="Calibri" w:hAnsi="Calibri" w:cs="Calibri"/>
          <w:iCs/>
          <w:sz w:val="24"/>
          <w:szCs w:val="24"/>
        </w:rPr>
        <w:t xml:space="preserve">The remaining amount is funded through internal resources </w:t>
      </w:r>
      <w:r w:rsidR="00AA76A1">
        <w:rPr>
          <w:rFonts w:ascii="Calibri" w:hAnsi="Calibri" w:cs="Calibri"/>
          <w:iCs/>
          <w:sz w:val="24"/>
          <w:szCs w:val="24"/>
        </w:rPr>
        <w:t>of Rs. 8</w:t>
      </w:r>
      <w:r w:rsidR="00FA6DEB">
        <w:rPr>
          <w:rFonts w:ascii="Calibri" w:hAnsi="Calibri" w:cs="Calibri"/>
          <w:iCs/>
          <w:sz w:val="24"/>
          <w:szCs w:val="24"/>
        </w:rPr>
        <w:t>,</w:t>
      </w:r>
      <w:r w:rsidR="00AA76A1">
        <w:rPr>
          <w:rFonts w:ascii="Calibri" w:hAnsi="Calibri" w:cs="Calibri"/>
          <w:iCs/>
          <w:sz w:val="24"/>
          <w:szCs w:val="24"/>
        </w:rPr>
        <w:t xml:space="preserve">102 crore </w:t>
      </w:r>
      <w:r w:rsidR="00B76AED">
        <w:rPr>
          <w:rFonts w:ascii="Calibri" w:hAnsi="Calibri" w:cs="Calibri"/>
          <w:iCs/>
          <w:sz w:val="24"/>
          <w:szCs w:val="24"/>
        </w:rPr>
        <w:t>and Viability Gap Funding (VGF) of Rs. 1</w:t>
      </w:r>
      <w:r w:rsidR="00FA6DEB">
        <w:rPr>
          <w:rFonts w:ascii="Calibri" w:hAnsi="Calibri" w:cs="Calibri"/>
          <w:iCs/>
          <w:sz w:val="24"/>
          <w:szCs w:val="24"/>
        </w:rPr>
        <w:t>,</w:t>
      </w:r>
      <w:r w:rsidR="00B76AED">
        <w:rPr>
          <w:rFonts w:ascii="Calibri" w:hAnsi="Calibri" w:cs="Calibri"/>
          <w:iCs/>
          <w:sz w:val="24"/>
          <w:szCs w:val="24"/>
        </w:rPr>
        <w:t>020 crore.</w:t>
      </w:r>
      <w:r w:rsidR="00AA76A1">
        <w:rPr>
          <w:rFonts w:ascii="Calibri" w:hAnsi="Calibri" w:cs="Calibri"/>
          <w:iCs/>
          <w:sz w:val="24"/>
          <w:szCs w:val="24"/>
        </w:rPr>
        <w:t xml:space="preserve"> </w:t>
      </w:r>
    </w:p>
    <w:p w14:paraId="6B047F2C" w14:textId="77777777" w:rsidR="0092636C" w:rsidRDefault="0092636C" w:rsidP="00294F1E">
      <w:pPr>
        <w:pStyle w:val="NoSpacing"/>
        <w:jc w:val="both"/>
        <w:rPr>
          <w:rFonts w:ascii="Calibri" w:hAnsi="Calibri" w:cs="Calibri"/>
          <w:iCs/>
          <w:sz w:val="24"/>
          <w:szCs w:val="24"/>
        </w:rPr>
      </w:pPr>
    </w:p>
    <w:p w14:paraId="49B4E9CD" w14:textId="77777777" w:rsidR="003E6725" w:rsidRDefault="003E6725" w:rsidP="00294F1E">
      <w:pPr>
        <w:pStyle w:val="NoSpacing"/>
        <w:jc w:val="both"/>
        <w:rPr>
          <w:rFonts w:ascii="Calibri" w:hAnsi="Calibri" w:cs="Calibri"/>
          <w:iCs/>
          <w:sz w:val="24"/>
          <w:szCs w:val="24"/>
        </w:rPr>
      </w:pPr>
    </w:p>
    <w:p w14:paraId="0B2B920C" w14:textId="1913AC9B" w:rsidR="00294F1E" w:rsidRPr="00D2778E" w:rsidRDefault="00D2778E" w:rsidP="00D2778E">
      <w:pPr>
        <w:jc w:val="center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***</w:t>
      </w:r>
    </w:p>
    <w:sectPr w:rsidR="00294F1E" w:rsidRPr="00D27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316D7"/>
    <w:multiLevelType w:val="hybridMultilevel"/>
    <w:tmpl w:val="F942FF96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B0783"/>
    <w:multiLevelType w:val="hybridMultilevel"/>
    <w:tmpl w:val="D152C9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1BF7"/>
    <w:multiLevelType w:val="hybridMultilevel"/>
    <w:tmpl w:val="AE3E1204"/>
    <w:lvl w:ilvl="0" w:tplc="40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F35870"/>
    <w:multiLevelType w:val="hybridMultilevel"/>
    <w:tmpl w:val="05C01772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2A7161C"/>
    <w:multiLevelType w:val="hybridMultilevel"/>
    <w:tmpl w:val="A76694EC"/>
    <w:lvl w:ilvl="0" w:tplc="60D0A702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4294311"/>
    <w:multiLevelType w:val="hybridMultilevel"/>
    <w:tmpl w:val="EDCEA1D6"/>
    <w:lvl w:ilvl="0" w:tplc="B99AF4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762F3"/>
    <w:multiLevelType w:val="hybridMultilevel"/>
    <w:tmpl w:val="AE3E1204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34749EC"/>
    <w:multiLevelType w:val="hybridMultilevel"/>
    <w:tmpl w:val="315AA778"/>
    <w:lvl w:ilvl="0" w:tplc="99EC698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55421FE"/>
    <w:multiLevelType w:val="hybridMultilevel"/>
    <w:tmpl w:val="8F0EAEA2"/>
    <w:lvl w:ilvl="0" w:tplc="65F6103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A71167E"/>
    <w:multiLevelType w:val="hybridMultilevel"/>
    <w:tmpl w:val="53E02120"/>
    <w:lvl w:ilvl="0" w:tplc="57363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611299"/>
    <w:multiLevelType w:val="hybridMultilevel"/>
    <w:tmpl w:val="4A8E7782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45009423">
    <w:abstractNumId w:val="5"/>
  </w:num>
  <w:num w:numId="2" w16cid:durableId="1804930002">
    <w:abstractNumId w:val="3"/>
  </w:num>
  <w:num w:numId="3" w16cid:durableId="331031168">
    <w:abstractNumId w:val="8"/>
  </w:num>
  <w:num w:numId="4" w16cid:durableId="1513763484">
    <w:abstractNumId w:val="2"/>
  </w:num>
  <w:num w:numId="5" w16cid:durableId="1179082632">
    <w:abstractNumId w:val="6"/>
  </w:num>
  <w:num w:numId="6" w16cid:durableId="1867137376">
    <w:abstractNumId w:val="4"/>
  </w:num>
  <w:num w:numId="7" w16cid:durableId="1343361549">
    <w:abstractNumId w:val="7"/>
  </w:num>
  <w:num w:numId="8" w16cid:durableId="1517960102">
    <w:abstractNumId w:val="0"/>
  </w:num>
  <w:num w:numId="9" w16cid:durableId="1612736855">
    <w:abstractNumId w:val="10"/>
  </w:num>
  <w:num w:numId="10" w16cid:durableId="260459001">
    <w:abstractNumId w:val="9"/>
  </w:num>
  <w:num w:numId="11" w16cid:durableId="369457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72"/>
    <w:rsid w:val="00014F79"/>
    <w:rsid w:val="00017C37"/>
    <w:rsid w:val="00022FC3"/>
    <w:rsid w:val="00023657"/>
    <w:rsid w:val="00026395"/>
    <w:rsid w:val="000433EF"/>
    <w:rsid w:val="00044C78"/>
    <w:rsid w:val="00045F4A"/>
    <w:rsid w:val="000530EB"/>
    <w:rsid w:val="00054511"/>
    <w:rsid w:val="00056EBE"/>
    <w:rsid w:val="000705ED"/>
    <w:rsid w:val="00080BAC"/>
    <w:rsid w:val="000872EE"/>
    <w:rsid w:val="00087581"/>
    <w:rsid w:val="00087EF1"/>
    <w:rsid w:val="000912E4"/>
    <w:rsid w:val="000B2654"/>
    <w:rsid w:val="000B567F"/>
    <w:rsid w:val="000D2613"/>
    <w:rsid w:val="000D685A"/>
    <w:rsid w:val="000F01EE"/>
    <w:rsid w:val="000F04BC"/>
    <w:rsid w:val="000F483C"/>
    <w:rsid w:val="001005AB"/>
    <w:rsid w:val="001021A6"/>
    <w:rsid w:val="00106FCB"/>
    <w:rsid w:val="00112876"/>
    <w:rsid w:val="00117FE6"/>
    <w:rsid w:val="00123DFB"/>
    <w:rsid w:val="0012664F"/>
    <w:rsid w:val="0013043A"/>
    <w:rsid w:val="00136851"/>
    <w:rsid w:val="00143089"/>
    <w:rsid w:val="00146803"/>
    <w:rsid w:val="00150B4B"/>
    <w:rsid w:val="00153452"/>
    <w:rsid w:val="00162022"/>
    <w:rsid w:val="00165D8F"/>
    <w:rsid w:val="00172099"/>
    <w:rsid w:val="00180603"/>
    <w:rsid w:val="0018411C"/>
    <w:rsid w:val="00193461"/>
    <w:rsid w:val="0019663A"/>
    <w:rsid w:val="0019748A"/>
    <w:rsid w:val="001A2591"/>
    <w:rsid w:val="001A3E29"/>
    <w:rsid w:val="001A3FD3"/>
    <w:rsid w:val="001C028D"/>
    <w:rsid w:val="001C1913"/>
    <w:rsid w:val="001D7302"/>
    <w:rsid w:val="001E5E16"/>
    <w:rsid w:val="001E7A56"/>
    <w:rsid w:val="001F4854"/>
    <w:rsid w:val="001F5622"/>
    <w:rsid w:val="002022E5"/>
    <w:rsid w:val="00210072"/>
    <w:rsid w:val="00217F5F"/>
    <w:rsid w:val="00225856"/>
    <w:rsid w:val="00233436"/>
    <w:rsid w:val="00237A20"/>
    <w:rsid w:val="00245C7B"/>
    <w:rsid w:val="0025053D"/>
    <w:rsid w:val="0025395F"/>
    <w:rsid w:val="0026485B"/>
    <w:rsid w:val="00265FDA"/>
    <w:rsid w:val="002746D5"/>
    <w:rsid w:val="0028786D"/>
    <w:rsid w:val="002919D4"/>
    <w:rsid w:val="00293D68"/>
    <w:rsid w:val="00294F1E"/>
    <w:rsid w:val="00297095"/>
    <w:rsid w:val="002A2053"/>
    <w:rsid w:val="002A300C"/>
    <w:rsid w:val="002A7DB3"/>
    <w:rsid w:val="002B494F"/>
    <w:rsid w:val="002B616C"/>
    <w:rsid w:val="002D59D2"/>
    <w:rsid w:val="002E2762"/>
    <w:rsid w:val="002E475C"/>
    <w:rsid w:val="002F1A47"/>
    <w:rsid w:val="002F25A3"/>
    <w:rsid w:val="003111C4"/>
    <w:rsid w:val="003120FE"/>
    <w:rsid w:val="00322AF2"/>
    <w:rsid w:val="0033101D"/>
    <w:rsid w:val="003400C8"/>
    <w:rsid w:val="00344409"/>
    <w:rsid w:val="00346C4A"/>
    <w:rsid w:val="00347F60"/>
    <w:rsid w:val="00354966"/>
    <w:rsid w:val="00357120"/>
    <w:rsid w:val="0036727E"/>
    <w:rsid w:val="00372AE2"/>
    <w:rsid w:val="00376642"/>
    <w:rsid w:val="00382795"/>
    <w:rsid w:val="00383A49"/>
    <w:rsid w:val="0038771C"/>
    <w:rsid w:val="00390CA9"/>
    <w:rsid w:val="003926C7"/>
    <w:rsid w:val="003A311A"/>
    <w:rsid w:val="003A6864"/>
    <w:rsid w:val="003B4885"/>
    <w:rsid w:val="003B50CD"/>
    <w:rsid w:val="003C1C94"/>
    <w:rsid w:val="003C7A56"/>
    <w:rsid w:val="003D2666"/>
    <w:rsid w:val="003D5189"/>
    <w:rsid w:val="003D6E34"/>
    <w:rsid w:val="003E075F"/>
    <w:rsid w:val="003E5E95"/>
    <w:rsid w:val="003E6725"/>
    <w:rsid w:val="003E6905"/>
    <w:rsid w:val="003F1158"/>
    <w:rsid w:val="003F1C76"/>
    <w:rsid w:val="003F306E"/>
    <w:rsid w:val="004040EE"/>
    <w:rsid w:val="004076D5"/>
    <w:rsid w:val="00415528"/>
    <w:rsid w:val="004217D2"/>
    <w:rsid w:val="00421853"/>
    <w:rsid w:val="004258E3"/>
    <w:rsid w:val="004375A9"/>
    <w:rsid w:val="00450276"/>
    <w:rsid w:val="00460D63"/>
    <w:rsid w:val="00461227"/>
    <w:rsid w:val="00461292"/>
    <w:rsid w:val="00477F74"/>
    <w:rsid w:val="00480D27"/>
    <w:rsid w:val="0049508C"/>
    <w:rsid w:val="004B3159"/>
    <w:rsid w:val="004B46C7"/>
    <w:rsid w:val="004B58FC"/>
    <w:rsid w:val="004C1B23"/>
    <w:rsid w:val="004C6C56"/>
    <w:rsid w:val="004D6E8E"/>
    <w:rsid w:val="004E333F"/>
    <w:rsid w:val="004E59D2"/>
    <w:rsid w:val="004E7886"/>
    <w:rsid w:val="004F20A7"/>
    <w:rsid w:val="004F39BB"/>
    <w:rsid w:val="004F5E07"/>
    <w:rsid w:val="00501B9B"/>
    <w:rsid w:val="0050780B"/>
    <w:rsid w:val="0051030C"/>
    <w:rsid w:val="00512C56"/>
    <w:rsid w:val="00513A6D"/>
    <w:rsid w:val="00514053"/>
    <w:rsid w:val="005222A1"/>
    <w:rsid w:val="00522BB2"/>
    <w:rsid w:val="00525EBC"/>
    <w:rsid w:val="00527462"/>
    <w:rsid w:val="00537E19"/>
    <w:rsid w:val="00542471"/>
    <w:rsid w:val="0054466E"/>
    <w:rsid w:val="005631DF"/>
    <w:rsid w:val="0056542C"/>
    <w:rsid w:val="0056759F"/>
    <w:rsid w:val="005731CD"/>
    <w:rsid w:val="00576CF5"/>
    <w:rsid w:val="00591922"/>
    <w:rsid w:val="00595559"/>
    <w:rsid w:val="00597910"/>
    <w:rsid w:val="005A2B18"/>
    <w:rsid w:val="005A2CBE"/>
    <w:rsid w:val="005A550C"/>
    <w:rsid w:val="005A714C"/>
    <w:rsid w:val="005B52C3"/>
    <w:rsid w:val="005B66E8"/>
    <w:rsid w:val="005B6886"/>
    <w:rsid w:val="005C070B"/>
    <w:rsid w:val="005C1C38"/>
    <w:rsid w:val="005D721D"/>
    <w:rsid w:val="005E4D8C"/>
    <w:rsid w:val="005E629F"/>
    <w:rsid w:val="005E7B67"/>
    <w:rsid w:val="005F001A"/>
    <w:rsid w:val="005F0047"/>
    <w:rsid w:val="005F0A60"/>
    <w:rsid w:val="005F0F08"/>
    <w:rsid w:val="005F0F8E"/>
    <w:rsid w:val="005F15CD"/>
    <w:rsid w:val="005F57EF"/>
    <w:rsid w:val="00605C68"/>
    <w:rsid w:val="006161A5"/>
    <w:rsid w:val="00616C06"/>
    <w:rsid w:val="00630C42"/>
    <w:rsid w:val="0063382E"/>
    <w:rsid w:val="00644262"/>
    <w:rsid w:val="006563C9"/>
    <w:rsid w:val="00672067"/>
    <w:rsid w:val="0067742D"/>
    <w:rsid w:val="006822CA"/>
    <w:rsid w:val="00684994"/>
    <w:rsid w:val="00685E2B"/>
    <w:rsid w:val="00693851"/>
    <w:rsid w:val="00693BE0"/>
    <w:rsid w:val="006A2D03"/>
    <w:rsid w:val="006A44A6"/>
    <w:rsid w:val="006A4594"/>
    <w:rsid w:val="006A680A"/>
    <w:rsid w:val="006C17A6"/>
    <w:rsid w:val="006D1D76"/>
    <w:rsid w:val="006D69BE"/>
    <w:rsid w:val="006E41AB"/>
    <w:rsid w:val="006E6B1C"/>
    <w:rsid w:val="006F7B76"/>
    <w:rsid w:val="00701356"/>
    <w:rsid w:val="00701662"/>
    <w:rsid w:val="00701FFF"/>
    <w:rsid w:val="00702010"/>
    <w:rsid w:val="00702A3C"/>
    <w:rsid w:val="00715710"/>
    <w:rsid w:val="007166A9"/>
    <w:rsid w:val="00722344"/>
    <w:rsid w:val="007248B3"/>
    <w:rsid w:val="007324FE"/>
    <w:rsid w:val="007334CD"/>
    <w:rsid w:val="00751793"/>
    <w:rsid w:val="00753076"/>
    <w:rsid w:val="00753BC2"/>
    <w:rsid w:val="0075703D"/>
    <w:rsid w:val="007653C6"/>
    <w:rsid w:val="0077762B"/>
    <w:rsid w:val="00777AA1"/>
    <w:rsid w:val="00783512"/>
    <w:rsid w:val="00790222"/>
    <w:rsid w:val="00790B7E"/>
    <w:rsid w:val="00793161"/>
    <w:rsid w:val="007A09EB"/>
    <w:rsid w:val="007A523E"/>
    <w:rsid w:val="007A6B00"/>
    <w:rsid w:val="007A6E90"/>
    <w:rsid w:val="007B4072"/>
    <w:rsid w:val="007B4B55"/>
    <w:rsid w:val="007D3274"/>
    <w:rsid w:val="007D4900"/>
    <w:rsid w:val="007D6505"/>
    <w:rsid w:val="007D65AD"/>
    <w:rsid w:val="007E3140"/>
    <w:rsid w:val="007E4A02"/>
    <w:rsid w:val="00801464"/>
    <w:rsid w:val="00802436"/>
    <w:rsid w:val="00805778"/>
    <w:rsid w:val="00805C6E"/>
    <w:rsid w:val="008118A9"/>
    <w:rsid w:val="008127C9"/>
    <w:rsid w:val="00812EA6"/>
    <w:rsid w:val="00816F9A"/>
    <w:rsid w:val="00817202"/>
    <w:rsid w:val="008201DA"/>
    <w:rsid w:val="00823234"/>
    <w:rsid w:val="008255B7"/>
    <w:rsid w:val="00826DAF"/>
    <w:rsid w:val="008272F0"/>
    <w:rsid w:val="0083270E"/>
    <w:rsid w:val="0083374F"/>
    <w:rsid w:val="00841D72"/>
    <w:rsid w:val="00843B81"/>
    <w:rsid w:val="00843BF4"/>
    <w:rsid w:val="00852E66"/>
    <w:rsid w:val="00861FFD"/>
    <w:rsid w:val="008653EC"/>
    <w:rsid w:val="0087277B"/>
    <w:rsid w:val="00875304"/>
    <w:rsid w:val="00885BD1"/>
    <w:rsid w:val="00893045"/>
    <w:rsid w:val="008A4276"/>
    <w:rsid w:val="008A6AE2"/>
    <w:rsid w:val="008B2B97"/>
    <w:rsid w:val="008B6238"/>
    <w:rsid w:val="008B68CC"/>
    <w:rsid w:val="008B6C12"/>
    <w:rsid w:val="008C19C3"/>
    <w:rsid w:val="008C4366"/>
    <w:rsid w:val="008C4574"/>
    <w:rsid w:val="008E088A"/>
    <w:rsid w:val="008E777A"/>
    <w:rsid w:val="008F1E16"/>
    <w:rsid w:val="008F5387"/>
    <w:rsid w:val="009043F2"/>
    <w:rsid w:val="00904DCB"/>
    <w:rsid w:val="0091171D"/>
    <w:rsid w:val="009125C9"/>
    <w:rsid w:val="00915043"/>
    <w:rsid w:val="0092636C"/>
    <w:rsid w:val="00927D1A"/>
    <w:rsid w:val="00933202"/>
    <w:rsid w:val="009509D8"/>
    <w:rsid w:val="00960333"/>
    <w:rsid w:val="00966F01"/>
    <w:rsid w:val="009728D9"/>
    <w:rsid w:val="009A0ED7"/>
    <w:rsid w:val="009A3204"/>
    <w:rsid w:val="009A42F2"/>
    <w:rsid w:val="009A4D74"/>
    <w:rsid w:val="009A51D0"/>
    <w:rsid w:val="009B4EA0"/>
    <w:rsid w:val="009B521A"/>
    <w:rsid w:val="009C6DE1"/>
    <w:rsid w:val="009D3DAC"/>
    <w:rsid w:val="009D65A1"/>
    <w:rsid w:val="009E3CFE"/>
    <w:rsid w:val="009F0C3D"/>
    <w:rsid w:val="009F0F16"/>
    <w:rsid w:val="009F34C6"/>
    <w:rsid w:val="009F506E"/>
    <w:rsid w:val="00A03B6D"/>
    <w:rsid w:val="00A06317"/>
    <w:rsid w:val="00A12CE0"/>
    <w:rsid w:val="00A25369"/>
    <w:rsid w:val="00A3057E"/>
    <w:rsid w:val="00A548E9"/>
    <w:rsid w:val="00A667A5"/>
    <w:rsid w:val="00A70E38"/>
    <w:rsid w:val="00A71A6E"/>
    <w:rsid w:val="00A77C3D"/>
    <w:rsid w:val="00A86B8D"/>
    <w:rsid w:val="00A92437"/>
    <w:rsid w:val="00A939C1"/>
    <w:rsid w:val="00AA76A1"/>
    <w:rsid w:val="00AF354D"/>
    <w:rsid w:val="00AF5C03"/>
    <w:rsid w:val="00B01095"/>
    <w:rsid w:val="00B04A03"/>
    <w:rsid w:val="00B10690"/>
    <w:rsid w:val="00B1183B"/>
    <w:rsid w:val="00B15AC6"/>
    <w:rsid w:val="00B36253"/>
    <w:rsid w:val="00B41BD0"/>
    <w:rsid w:val="00B54DAD"/>
    <w:rsid w:val="00B61C74"/>
    <w:rsid w:val="00B646EF"/>
    <w:rsid w:val="00B66C35"/>
    <w:rsid w:val="00B75627"/>
    <w:rsid w:val="00B76AED"/>
    <w:rsid w:val="00BB203C"/>
    <w:rsid w:val="00BB49C6"/>
    <w:rsid w:val="00BC3B47"/>
    <w:rsid w:val="00BD0990"/>
    <w:rsid w:val="00BD2125"/>
    <w:rsid w:val="00BD44B1"/>
    <w:rsid w:val="00BD4F85"/>
    <w:rsid w:val="00BD65BD"/>
    <w:rsid w:val="00BD6674"/>
    <w:rsid w:val="00BE2292"/>
    <w:rsid w:val="00BE6102"/>
    <w:rsid w:val="00BF29F7"/>
    <w:rsid w:val="00BF314D"/>
    <w:rsid w:val="00BF4D0E"/>
    <w:rsid w:val="00BF5DCB"/>
    <w:rsid w:val="00C0531B"/>
    <w:rsid w:val="00C061C5"/>
    <w:rsid w:val="00C11819"/>
    <w:rsid w:val="00C20926"/>
    <w:rsid w:val="00C23026"/>
    <w:rsid w:val="00C263B9"/>
    <w:rsid w:val="00C2651D"/>
    <w:rsid w:val="00C45501"/>
    <w:rsid w:val="00C51AB2"/>
    <w:rsid w:val="00C53CF1"/>
    <w:rsid w:val="00C56386"/>
    <w:rsid w:val="00C866D4"/>
    <w:rsid w:val="00C907E3"/>
    <w:rsid w:val="00C95666"/>
    <w:rsid w:val="00C9620F"/>
    <w:rsid w:val="00CB1828"/>
    <w:rsid w:val="00CC118B"/>
    <w:rsid w:val="00CE1E6E"/>
    <w:rsid w:val="00CE22E2"/>
    <w:rsid w:val="00CE2E6A"/>
    <w:rsid w:val="00CE4797"/>
    <w:rsid w:val="00CE52DD"/>
    <w:rsid w:val="00CF58D6"/>
    <w:rsid w:val="00D01C85"/>
    <w:rsid w:val="00D11511"/>
    <w:rsid w:val="00D15AE5"/>
    <w:rsid w:val="00D21F91"/>
    <w:rsid w:val="00D2778E"/>
    <w:rsid w:val="00D3376E"/>
    <w:rsid w:val="00D34028"/>
    <w:rsid w:val="00D34DC9"/>
    <w:rsid w:val="00D36357"/>
    <w:rsid w:val="00D40363"/>
    <w:rsid w:val="00D421D8"/>
    <w:rsid w:val="00D471F5"/>
    <w:rsid w:val="00D51025"/>
    <w:rsid w:val="00D86FAB"/>
    <w:rsid w:val="00D93AFD"/>
    <w:rsid w:val="00D94054"/>
    <w:rsid w:val="00D97E42"/>
    <w:rsid w:val="00DB1315"/>
    <w:rsid w:val="00DB1B0D"/>
    <w:rsid w:val="00DB2100"/>
    <w:rsid w:val="00DB46B4"/>
    <w:rsid w:val="00DC0D55"/>
    <w:rsid w:val="00DC252F"/>
    <w:rsid w:val="00DC313E"/>
    <w:rsid w:val="00DC41F5"/>
    <w:rsid w:val="00DC5FD8"/>
    <w:rsid w:val="00DC7891"/>
    <w:rsid w:val="00DD720C"/>
    <w:rsid w:val="00DD770B"/>
    <w:rsid w:val="00DE3A44"/>
    <w:rsid w:val="00DE5788"/>
    <w:rsid w:val="00DE6908"/>
    <w:rsid w:val="00DE6A3D"/>
    <w:rsid w:val="00DF39A0"/>
    <w:rsid w:val="00DF3A69"/>
    <w:rsid w:val="00DF72EB"/>
    <w:rsid w:val="00E0291A"/>
    <w:rsid w:val="00E07840"/>
    <w:rsid w:val="00E155E4"/>
    <w:rsid w:val="00E22484"/>
    <w:rsid w:val="00E305AF"/>
    <w:rsid w:val="00E34300"/>
    <w:rsid w:val="00E40386"/>
    <w:rsid w:val="00E43E27"/>
    <w:rsid w:val="00E45AF6"/>
    <w:rsid w:val="00E50F92"/>
    <w:rsid w:val="00E60E79"/>
    <w:rsid w:val="00E61BCC"/>
    <w:rsid w:val="00E64CA5"/>
    <w:rsid w:val="00E64E0E"/>
    <w:rsid w:val="00E72729"/>
    <w:rsid w:val="00E74A2E"/>
    <w:rsid w:val="00E7528A"/>
    <w:rsid w:val="00E87BD1"/>
    <w:rsid w:val="00E93BA8"/>
    <w:rsid w:val="00E97685"/>
    <w:rsid w:val="00EA5052"/>
    <w:rsid w:val="00EA58A2"/>
    <w:rsid w:val="00EA7797"/>
    <w:rsid w:val="00EB3037"/>
    <w:rsid w:val="00EC3380"/>
    <w:rsid w:val="00EC656D"/>
    <w:rsid w:val="00ED22F0"/>
    <w:rsid w:val="00ED6647"/>
    <w:rsid w:val="00ED720B"/>
    <w:rsid w:val="00EE3936"/>
    <w:rsid w:val="00EE43F3"/>
    <w:rsid w:val="00EF4FAF"/>
    <w:rsid w:val="00F07492"/>
    <w:rsid w:val="00F10F55"/>
    <w:rsid w:val="00F14705"/>
    <w:rsid w:val="00F27096"/>
    <w:rsid w:val="00F305F0"/>
    <w:rsid w:val="00F33799"/>
    <w:rsid w:val="00F34626"/>
    <w:rsid w:val="00F35F32"/>
    <w:rsid w:val="00F3677B"/>
    <w:rsid w:val="00F458CD"/>
    <w:rsid w:val="00F4746E"/>
    <w:rsid w:val="00F50DE6"/>
    <w:rsid w:val="00F51319"/>
    <w:rsid w:val="00F51BF4"/>
    <w:rsid w:val="00F61C01"/>
    <w:rsid w:val="00F67EAB"/>
    <w:rsid w:val="00F7461C"/>
    <w:rsid w:val="00F7469D"/>
    <w:rsid w:val="00F76E9B"/>
    <w:rsid w:val="00F854C8"/>
    <w:rsid w:val="00F94A9D"/>
    <w:rsid w:val="00FA6DEB"/>
    <w:rsid w:val="00FB166B"/>
    <w:rsid w:val="00FB1F0F"/>
    <w:rsid w:val="00FB2E45"/>
    <w:rsid w:val="00FB7DB0"/>
    <w:rsid w:val="00FC216C"/>
    <w:rsid w:val="00FC4043"/>
    <w:rsid w:val="00FC7C07"/>
    <w:rsid w:val="00FD0849"/>
    <w:rsid w:val="00FD1A4C"/>
    <w:rsid w:val="00FD565D"/>
    <w:rsid w:val="00FD5990"/>
    <w:rsid w:val="00FF0127"/>
    <w:rsid w:val="00FF34DB"/>
    <w:rsid w:val="00FF3E3D"/>
    <w:rsid w:val="00FF6D66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A1DC4"/>
  <w15:chartTrackingRefBased/>
  <w15:docId w15:val="{4B51B150-2592-4E78-A7F4-23CFB1A9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6">
    <w:name w:val="Style6"/>
    <w:basedOn w:val="DefaultParagraphFont"/>
    <w:uiPriority w:val="1"/>
    <w:rsid w:val="009125C9"/>
    <w:rPr>
      <w:rFonts w:ascii="Times New Roman" w:hAnsi="Times New Roman"/>
      <w:b/>
      <w:color w:val="000000" w:themeColor="text1"/>
      <w:sz w:val="22"/>
    </w:rPr>
  </w:style>
  <w:style w:type="character" w:customStyle="1" w:styleId="Style7">
    <w:name w:val="Style7"/>
    <w:basedOn w:val="DefaultParagraphFont"/>
    <w:uiPriority w:val="1"/>
    <w:rsid w:val="009125C9"/>
    <w:rPr>
      <w:rFonts w:ascii="Times New Roman" w:hAnsi="Times New Roman"/>
      <w:b/>
      <w:sz w:val="22"/>
    </w:rPr>
  </w:style>
  <w:style w:type="character" w:customStyle="1" w:styleId="Style10">
    <w:name w:val="Style10"/>
    <w:basedOn w:val="DefaultParagraphFont"/>
    <w:uiPriority w:val="1"/>
    <w:rsid w:val="00805C6E"/>
    <w:rPr>
      <w:rFonts w:ascii="Times New Roman" w:hAnsi="Times New Roman"/>
      <w:b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B4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072"/>
    <w:rPr>
      <w:i/>
      <w:iCs/>
      <w:color w:val="404040" w:themeColor="text1" w:themeTint="BF"/>
    </w:rPr>
  </w:style>
  <w:style w:type="paragraph" w:styleId="ListParagraph">
    <w:name w:val="List Paragraph"/>
    <w:aliases w:val="heading 9,1st Head,LP,List Para,LPARA,List Paragraph1,Colorful List - Accent 11,Report Para,List Paragraph11,LIST OF TABLES.,List Paragraph (numbered (a)),Number Bullets,ADB List Paragraph,Bullet for Sub Section,References,List_Paragraph"/>
    <w:basedOn w:val="Normal"/>
    <w:link w:val="ListParagraphChar"/>
    <w:uiPriority w:val="34"/>
    <w:qFormat/>
    <w:rsid w:val="007B4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0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1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26C7"/>
    <w:pPr>
      <w:spacing w:after="0" w:line="240" w:lineRule="auto"/>
    </w:pPr>
  </w:style>
  <w:style w:type="character" w:customStyle="1" w:styleId="ListParagraphChar">
    <w:name w:val="List Paragraph Char"/>
    <w:aliases w:val="heading 9 Char,1st Head Char,LP Char,List Para Char,LPARA Char,List Paragraph1 Char,Colorful List - Accent 11 Char,Report Para Char,List Paragraph11 Char,LIST OF TABLES. Char,List Paragraph (numbered (a)) Char,Number Bullets Char"/>
    <w:basedOn w:val="DefaultParagraphFont"/>
    <w:link w:val="ListParagraph"/>
    <w:uiPriority w:val="34"/>
    <w:qFormat/>
    <w:locked/>
    <w:rsid w:val="00A939C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1C76"/>
    <w:pPr>
      <w:spacing w:after="120" w:line="276" w:lineRule="auto"/>
      <w:ind w:left="283"/>
    </w:pPr>
    <w:rPr>
      <w:kern w:val="0"/>
      <w:lang w:val="en-US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F1C76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SUSHMITA TALUKDAR(Apprentice Trainee)</dc:creator>
  <cp:keywords/>
  <dc:description/>
  <cp:lastModifiedBy>Akshay Jyoti Baruah [अक्षय ज्योति बरुवा]</cp:lastModifiedBy>
  <cp:revision>450</cp:revision>
  <dcterms:created xsi:type="dcterms:W3CDTF">2024-07-23T04:38:00Z</dcterms:created>
  <dcterms:modified xsi:type="dcterms:W3CDTF">2024-12-12T07:33:00Z</dcterms:modified>
</cp:coreProperties>
</file>