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C9F17" w14:textId="4FD40890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 w:rsidR="00A06317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202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527462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</w:t>
      </w:r>
      <w:r w:rsidR="00C9620F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4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</w:t>
      </w:r>
      <w:r w:rsidR="00C9620F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11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.2024 for </w:t>
      </w:r>
      <w:r w:rsidR="00376642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Rajya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Sabha regarding “</w:t>
      </w:r>
      <w:r w:rsidR="00A06317" w:rsidRPr="00A06317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Energy Demand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” in respect of Numaligarh Refinery Limited (NRL):</w:t>
      </w:r>
    </w:p>
    <w:p w14:paraId="49800E12" w14:textId="77777777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0A8A4C6" w14:textId="5EF1E778" w:rsidR="003926C7" w:rsidRPr="00D2778E" w:rsidRDefault="003926C7" w:rsidP="003926C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(a):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A06317" w:rsidRPr="00A06317">
        <w:rPr>
          <w:rFonts w:ascii="Calibri" w:hAnsi="Calibri" w:cs="Calibri"/>
          <w:b/>
          <w:color w:val="000000" w:themeColor="text1"/>
          <w:sz w:val="24"/>
          <w:szCs w:val="24"/>
        </w:rPr>
        <w:t>whether country's energy demand has been rising briskly leading to higher oil imports and increasing dependence on imported crude</w:t>
      </w:r>
      <w:r w:rsidR="00460D63" w:rsidRPr="00D2778E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</w:p>
    <w:p w14:paraId="7237F7B5" w14:textId="57DF9B24" w:rsidR="00EA5052" w:rsidRPr="00D2778E" w:rsidRDefault="00FB1F0F" w:rsidP="00EA5052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460D63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EA5052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6BCF3CE4" w14:textId="77777777" w:rsidR="00E50F92" w:rsidRDefault="00E50F92" w:rsidP="00E50F92">
      <w:pPr>
        <w:pStyle w:val="NoSpacing"/>
        <w:spacing w:after="120" w:line="264" w:lineRule="auto"/>
        <w:ind w:left="1440"/>
        <w:contextualSpacing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605E20">
        <w:rPr>
          <w:rFonts w:ascii="Calibri" w:eastAsia="Times New Roman" w:hAnsi="Calibri" w:cs="Calibri"/>
          <w:bCs/>
          <w:color w:val="000000"/>
          <w:sz w:val="24"/>
          <w:szCs w:val="24"/>
        </w:rPr>
        <w:t>[</w:t>
      </w:r>
      <w:r w:rsidRPr="0000237F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NRL 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primarily </w:t>
      </w:r>
      <w:r w:rsidRPr="0000237F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sources its crude oil requirement from the 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indigenous </w:t>
      </w:r>
      <w:r w:rsidRPr="0000237F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oil fields of OIL and ONGC in 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>North-East</w:t>
      </w:r>
      <w:r w:rsidRPr="0000237F">
        <w:rPr>
          <w:rFonts w:ascii="Calibri" w:eastAsia="Times New Roman" w:hAnsi="Calibri" w:cs="Calibri"/>
          <w:bCs/>
          <w:color w:val="000000"/>
          <w:sz w:val="24"/>
          <w:szCs w:val="24"/>
        </w:rPr>
        <w:t>. NRL however import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>s</w:t>
      </w:r>
      <w:r w:rsidRPr="0000237F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>small quantity of</w:t>
      </w:r>
      <w:r w:rsidRPr="0000237F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>c</w:t>
      </w:r>
      <w:r w:rsidRPr="0000237F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rude 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>o</w:t>
      </w:r>
      <w:r w:rsidRPr="0000237F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il 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to maximize capacity utilisation of the refinery. The details of crude oil imported during the last three years and current year is tabulated below: </w:t>
      </w:r>
    </w:p>
    <w:p w14:paraId="085FE8F3" w14:textId="77777777" w:rsidR="00E50F92" w:rsidRDefault="00E50F92" w:rsidP="00E50F92">
      <w:pPr>
        <w:pStyle w:val="NoSpacing"/>
        <w:spacing w:after="120" w:line="264" w:lineRule="auto"/>
        <w:ind w:left="1440"/>
        <w:contextualSpacing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682"/>
        <w:gridCol w:w="1701"/>
        <w:gridCol w:w="2551"/>
        <w:gridCol w:w="2642"/>
      </w:tblGrid>
      <w:tr w:rsidR="00E50F92" w14:paraId="62953C5E" w14:textId="77777777" w:rsidTr="007C251F">
        <w:tc>
          <w:tcPr>
            <w:tcW w:w="682" w:type="dxa"/>
          </w:tcPr>
          <w:p w14:paraId="627857F7" w14:textId="77777777" w:rsidR="00E50F92" w:rsidRDefault="00E50F92" w:rsidP="007C251F">
            <w:pPr>
              <w:pStyle w:val="NoSpacing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701" w:type="dxa"/>
          </w:tcPr>
          <w:p w14:paraId="3DD38695" w14:textId="77777777" w:rsidR="00E50F92" w:rsidRDefault="00E50F92" w:rsidP="007C251F">
            <w:pPr>
              <w:pStyle w:val="NoSpacing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Financial Year (FY)</w:t>
            </w:r>
          </w:p>
        </w:tc>
        <w:tc>
          <w:tcPr>
            <w:tcW w:w="2551" w:type="dxa"/>
          </w:tcPr>
          <w:p w14:paraId="76DED286" w14:textId="77777777" w:rsidR="00E50F92" w:rsidRDefault="00E50F92" w:rsidP="007C251F">
            <w:pPr>
              <w:pStyle w:val="NoSpacing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Total Crude Processed (TMT)</w:t>
            </w:r>
          </w:p>
        </w:tc>
        <w:tc>
          <w:tcPr>
            <w:tcW w:w="2642" w:type="dxa"/>
          </w:tcPr>
          <w:p w14:paraId="5D3F5B0F" w14:textId="77777777" w:rsidR="00E50F92" w:rsidRDefault="00E50F92" w:rsidP="007C251F">
            <w:pPr>
              <w:pStyle w:val="NoSpacing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Imported Crude Processed (TMT)</w:t>
            </w:r>
          </w:p>
        </w:tc>
      </w:tr>
      <w:tr w:rsidR="00E50F92" w14:paraId="2262A484" w14:textId="77777777" w:rsidTr="007C251F">
        <w:tc>
          <w:tcPr>
            <w:tcW w:w="682" w:type="dxa"/>
          </w:tcPr>
          <w:p w14:paraId="1239CDE6" w14:textId="77777777" w:rsidR="00E50F92" w:rsidRDefault="00E50F92" w:rsidP="007C251F">
            <w:pPr>
              <w:pStyle w:val="NoSpacing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E9CABAC" w14:textId="77777777" w:rsidR="00E50F92" w:rsidRDefault="00E50F92" w:rsidP="007C251F">
            <w:pPr>
              <w:pStyle w:val="NoSpacing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2551" w:type="dxa"/>
          </w:tcPr>
          <w:p w14:paraId="6B72CB62" w14:textId="77777777" w:rsidR="00E50F92" w:rsidRDefault="00E50F92" w:rsidP="007C251F">
            <w:pPr>
              <w:pStyle w:val="NoSpacing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2,624</w:t>
            </w:r>
          </w:p>
        </w:tc>
        <w:tc>
          <w:tcPr>
            <w:tcW w:w="2642" w:type="dxa"/>
          </w:tcPr>
          <w:p w14:paraId="2DF17001" w14:textId="77777777" w:rsidR="00E50F92" w:rsidRDefault="00E50F92" w:rsidP="007C251F">
            <w:pPr>
              <w:pStyle w:val="NoSpacing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E50F92" w14:paraId="05267FBF" w14:textId="77777777" w:rsidTr="007C251F">
        <w:tc>
          <w:tcPr>
            <w:tcW w:w="682" w:type="dxa"/>
          </w:tcPr>
          <w:p w14:paraId="3D4E20BD" w14:textId="77777777" w:rsidR="00E50F92" w:rsidRDefault="00E50F92" w:rsidP="007C251F">
            <w:pPr>
              <w:pStyle w:val="NoSpacing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94AC2C1" w14:textId="77777777" w:rsidR="00E50F92" w:rsidRDefault="00E50F92" w:rsidP="007C251F">
            <w:pPr>
              <w:pStyle w:val="NoSpacing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2022-23</w:t>
            </w:r>
          </w:p>
        </w:tc>
        <w:tc>
          <w:tcPr>
            <w:tcW w:w="2551" w:type="dxa"/>
          </w:tcPr>
          <w:p w14:paraId="441E6CFC" w14:textId="77777777" w:rsidR="00E50F92" w:rsidRDefault="00E50F92" w:rsidP="007C251F">
            <w:pPr>
              <w:pStyle w:val="NoSpacing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3,091</w:t>
            </w:r>
          </w:p>
        </w:tc>
        <w:tc>
          <w:tcPr>
            <w:tcW w:w="2642" w:type="dxa"/>
          </w:tcPr>
          <w:p w14:paraId="5E47D796" w14:textId="77777777" w:rsidR="00E50F92" w:rsidRDefault="00E50F92" w:rsidP="007C251F">
            <w:pPr>
              <w:pStyle w:val="NoSpacing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117</w:t>
            </w:r>
          </w:p>
        </w:tc>
      </w:tr>
      <w:tr w:rsidR="00E50F92" w14:paraId="0BF4AF36" w14:textId="77777777" w:rsidTr="007C251F">
        <w:tc>
          <w:tcPr>
            <w:tcW w:w="682" w:type="dxa"/>
          </w:tcPr>
          <w:p w14:paraId="30FF653B" w14:textId="77777777" w:rsidR="00E50F92" w:rsidRDefault="00E50F92" w:rsidP="007C251F">
            <w:pPr>
              <w:pStyle w:val="NoSpacing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0DB4DAB" w14:textId="77777777" w:rsidR="00E50F92" w:rsidRDefault="00E50F92" w:rsidP="007C251F">
            <w:pPr>
              <w:pStyle w:val="NoSpacing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551" w:type="dxa"/>
          </w:tcPr>
          <w:p w14:paraId="083F6CAB" w14:textId="77777777" w:rsidR="00E50F92" w:rsidRDefault="00E50F92" w:rsidP="007C251F">
            <w:pPr>
              <w:pStyle w:val="NoSpacing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2,510</w:t>
            </w:r>
          </w:p>
        </w:tc>
        <w:tc>
          <w:tcPr>
            <w:tcW w:w="2642" w:type="dxa"/>
          </w:tcPr>
          <w:p w14:paraId="0438A3E8" w14:textId="77777777" w:rsidR="00E50F92" w:rsidRDefault="00E50F92" w:rsidP="007C251F">
            <w:pPr>
              <w:pStyle w:val="NoSpacing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E50F92" w14:paraId="69FF19FC" w14:textId="77777777" w:rsidTr="007C251F">
        <w:tc>
          <w:tcPr>
            <w:tcW w:w="682" w:type="dxa"/>
          </w:tcPr>
          <w:p w14:paraId="44F2595F" w14:textId="77777777" w:rsidR="00E50F92" w:rsidRDefault="00E50F92" w:rsidP="007C251F">
            <w:pPr>
              <w:pStyle w:val="NoSpacing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05B788A" w14:textId="77777777" w:rsidR="00E50F92" w:rsidRDefault="00E50F92" w:rsidP="007C251F">
            <w:pPr>
              <w:pStyle w:val="NoSpacing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2024-25</w:t>
            </w:r>
          </w:p>
          <w:p w14:paraId="702C169A" w14:textId="596FA8A0" w:rsidR="00E50F92" w:rsidRDefault="00E50F92" w:rsidP="007C251F">
            <w:pPr>
              <w:pStyle w:val="NoSpacing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(April-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Oct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’24)</w:t>
            </w:r>
          </w:p>
        </w:tc>
        <w:tc>
          <w:tcPr>
            <w:tcW w:w="2551" w:type="dxa"/>
          </w:tcPr>
          <w:p w14:paraId="666C154B" w14:textId="6C0D3851" w:rsidR="00E50F92" w:rsidRDefault="00F67EAB" w:rsidP="007C251F">
            <w:pPr>
              <w:pStyle w:val="NoSpacing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1,720</w:t>
            </w:r>
          </w:p>
        </w:tc>
        <w:tc>
          <w:tcPr>
            <w:tcW w:w="2642" w:type="dxa"/>
          </w:tcPr>
          <w:p w14:paraId="5B79C81E" w14:textId="3C416352" w:rsidR="00E50F92" w:rsidRDefault="004B3159" w:rsidP="007C251F">
            <w:pPr>
              <w:pStyle w:val="NoSpacing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21</w:t>
            </w:r>
          </w:p>
        </w:tc>
      </w:tr>
    </w:tbl>
    <w:p w14:paraId="7A94D8BF" w14:textId="77777777" w:rsidR="00E50F92" w:rsidRPr="0000237F" w:rsidRDefault="00E50F92" w:rsidP="00E50F92">
      <w:pPr>
        <w:pStyle w:val="NoSpacing"/>
        <w:spacing w:after="120" w:line="264" w:lineRule="auto"/>
        <w:ind w:left="1440"/>
        <w:contextualSpacing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00237F">
        <w:rPr>
          <w:rFonts w:ascii="Calibri" w:eastAsia="Times New Roman" w:hAnsi="Calibri" w:cs="Calibri"/>
          <w:bCs/>
          <w:color w:val="000000"/>
          <w:sz w:val="24"/>
          <w:szCs w:val="24"/>
        </w:rPr>
        <w:t>]</w:t>
      </w:r>
    </w:p>
    <w:p w14:paraId="296926F5" w14:textId="77777777" w:rsidR="008B68CC" w:rsidRPr="00D2778E" w:rsidRDefault="008B68CC" w:rsidP="00EA5052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432F503E" w14:textId="53605E25" w:rsidR="007B4072" w:rsidRPr="00D2778E" w:rsidRDefault="008B68CC" w:rsidP="008B68CC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>Q no. (b):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83270E" w:rsidRPr="0083270E">
        <w:rPr>
          <w:rFonts w:ascii="Calibri" w:hAnsi="Calibri" w:cs="Calibri"/>
          <w:b/>
          <w:color w:val="000000" w:themeColor="text1"/>
          <w:sz w:val="24"/>
          <w:szCs w:val="24"/>
        </w:rPr>
        <w:t>if so, the details thereof including domestic crude oil output</w:t>
      </w:r>
      <w:r w:rsidR="007B4072" w:rsidRPr="00D2778E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  <w:r w:rsidR="0083270E">
        <w:rPr>
          <w:rFonts w:ascii="Calibri" w:hAnsi="Calibri" w:cs="Calibri"/>
          <w:b/>
          <w:color w:val="000000" w:themeColor="text1"/>
          <w:sz w:val="24"/>
          <w:szCs w:val="24"/>
        </w:rPr>
        <w:t xml:space="preserve"> and</w:t>
      </w:r>
      <w:r w:rsidR="007B4072"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14:paraId="77B26082" w14:textId="1C3F54C6" w:rsidR="008B68CC" w:rsidRPr="00D2778E" w:rsidRDefault="00FB1F0F" w:rsidP="008B68CC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3B4885"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8B68CC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8B68CC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6AC75D14" w14:textId="77777777" w:rsidR="00EC656D" w:rsidRPr="00D2778E" w:rsidRDefault="00EC656D" w:rsidP="009728D9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9D747D4" w14:textId="5C0AA674" w:rsidR="007B4072" w:rsidRPr="00D2778E" w:rsidRDefault="009728D9" w:rsidP="00EC656D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Q no. (c):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83270E" w:rsidRPr="0083270E">
        <w:rPr>
          <w:rFonts w:ascii="Calibri" w:hAnsi="Calibri" w:cs="Calibri"/>
          <w:b/>
          <w:color w:val="000000" w:themeColor="text1"/>
          <w:sz w:val="24"/>
          <w:szCs w:val="24"/>
        </w:rPr>
        <w:t>the details of policy measures taken to incentivise investments in country' oil and gas exploration and production sector?</w:t>
      </w:r>
    </w:p>
    <w:p w14:paraId="10C7CF0A" w14:textId="0C4DE1AB" w:rsidR="001C1913" w:rsidRPr="00D2778E" w:rsidRDefault="00FB1F0F" w:rsidP="00843BF4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EC656D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EC656D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63CFBF36" w14:textId="77777777" w:rsidR="00C907E3" w:rsidRDefault="00C907E3" w:rsidP="00BD6674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0766444E" w14:textId="77777777" w:rsidR="00BD6674" w:rsidRPr="00D2778E" w:rsidRDefault="00BD6674" w:rsidP="00FB1F0F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218E918E" w14:textId="77777777" w:rsidR="00294F1E" w:rsidRPr="00D2778E" w:rsidRDefault="00294F1E" w:rsidP="00294F1E">
      <w:pPr>
        <w:tabs>
          <w:tab w:val="left" w:pos="1260"/>
        </w:tabs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 w:rsidRPr="00D2778E">
        <w:rPr>
          <w:rFonts w:ascii="Calibri" w:hAnsi="Calibri" w:cs="Calibri"/>
          <w:b/>
          <w:sz w:val="24"/>
          <w:szCs w:val="24"/>
          <w:u w:val="single"/>
        </w:rPr>
        <w:t>Note for Supplementary</w:t>
      </w:r>
      <w:r w:rsidRPr="00D2778E">
        <w:rPr>
          <w:rFonts w:ascii="Calibri" w:hAnsi="Calibri" w:cs="Calibri"/>
          <w:b/>
          <w:sz w:val="24"/>
          <w:szCs w:val="24"/>
        </w:rPr>
        <w:t>:</w:t>
      </w:r>
      <w:r w:rsidRPr="00D2778E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7572BB17" w14:textId="77777777" w:rsidR="00294F1E" w:rsidRPr="00D2778E" w:rsidRDefault="00294F1E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  <w:r w:rsidRPr="00D2778E">
        <w:rPr>
          <w:rFonts w:ascii="Calibri" w:hAnsi="Calibri" w:cs="Calibri"/>
          <w:iCs/>
          <w:sz w:val="24"/>
          <w:szCs w:val="24"/>
        </w:rPr>
        <w:t>Numaligarh Refinery Limited (NRL) is a Public Sector Enterprise with a 3.0 MMTPA petroleum refinery at Numaligarh in Golaghat district of Assam. Present shareholding pattern of NRL is Oil India Limited (OIL) – 69.63%, Govt. of Assam (GoA) – 26% and Engineers India Ltd (EIL) – 4.37%.</w:t>
      </w:r>
    </w:p>
    <w:p w14:paraId="0B2B920C" w14:textId="1913AC9B" w:rsidR="00294F1E" w:rsidRPr="00D2778E" w:rsidRDefault="00D2778E" w:rsidP="00D2778E">
      <w:pPr>
        <w:jc w:val="center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***</w:t>
      </w:r>
    </w:p>
    <w:sectPr w:rsidR="00294F1E" w:rsidRPr="00D27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94311"/>
    <w:multiLevelType w:val="hybridMultilevel"/>
    <w:tmpl w:val="EDCEA1D6"/>
    <w:lvl w:ilvl="0" w:tplc="B99AF4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0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72"/>
    <w:rsid w:val="00080BAC"/>
    <w:rsid w:val="000B567F"/>
    <w:rsid w:val="000D685A"/>
    <w:rsid w:val="00106FCB"/>
    <w:rsid w:val="0013043A"/>
    <w:rsid w:val="00180603"/>
    <w:rsid w:val="0019748A"/>
    <w:rsid w:val="001A3E29"/>
    <w:rsid w:val="001A3FD3"/>
    <w:rsid w:val="001C1913"/>
    <w:rsid w:val="001E5E16"/>
    <w:rsid w:val="001F4854"/>
    <w:rsid w:val="001F5622"/>
    <w:rsid w:val="00217F5F"/>
    <w:rsid w:val="002746D5"/>
    <w:rsid w:val="00294F1E"/>
    <w:rsid w:val="003400C8"/>
    <w:rsid w:val="00344409"/>
    <w:rsid w:val="00376642"/>
    <w:rsid w:val="003926C7"/>
    <w:rsid w:val="003B4885"/>
    <w:rsid w:val="00460D63"/>
    <w:rsid w:val="00461227"/>
    <w:rsid w:val="004B3159"/>
    <w:rsid w:val="0051030C"/>
    <w:rsid w:val="00525EBC"/>
    <w:rsid w:val="00527462"/>
    <w:rsid w:val="005731CD"/>
    <w:rsid w:val="005B66E8"/>
    <w:rsid w:val="005C1C38"/>
    <w:rsid w:val="005D721D"/>
    <w:rsid w:val="005F0047"/>
    <w:rsid w:val="005F0A60"/>
    <w:rsid w:val="005F15CD"/>
    <w:rsid w:val="005F57EF"/>
    <w:rsid w:val="00693BE0"/>
    <w:rsid w:val="006A2D03"/>
    <w:rsid w:val="006A4594"/>
    <w:rsid w:val="007324FE"/>
    <w:rsid w:val="00753076"/>
    <w:rsid w:val="0075703D"/>
    <w:rsid w:val="007B4072"/>
    <w:rsid w:val="00805C6E"/>
    <w:rsid w:val="0083270E"/>
    <w:rsid w:val="0083374F"/>
    <w:rsid w:val="00843BF4"/>
    <w:rsid w:val="00875304"/>
    <w:rsid w:val="008B6238"/>
    <w:rsid w:val="008B68CC"/>
    <w:rsid w:val="008F5387"/>
    <w:rsid w:val="009125C9"/>
    <w:rsid w:val="009728D9"/>
    <w:rsid w:val="00A06317"/>
    <w:rsid w:val="00A548E9"/>
    <w:rsid w:val="00B01095"/>
    <w:rsid w:val="00B1183B"/>
    <w:rsid w:val="00B75627"/>
    <w:rsid w:val="00BD0990"/>
    <w:rsid w:val="00BD44B1"/>
    <w:rsid w:val="00BD6674"/>
    <w:rsid w:val="00BF4D0E"/>
    <w:rsid w:val="00C907E3"/>
    <w:rsid w:val="00C9620F"/>
    <w:rsid w:val="00CE1E6E"/>
    <w:rsid w:val="00CE2E6A"/>
    <w:rsid w:val="00D21F91"/>
    <w:rsid w:val="00D2778E"/>
    <w:rsid w:val="00D36357"/>
    <w:rsid w:val="00D471F5"/>
    <w:rsid w:val="00D94054"/>
    <w:rsid w:val="00E07840"/>
    <w:rsid w:val="00E34300"/>
    <w:rsid w:val="00E50F92"/>
    <w:rsid w:val="00E72729"/>
    <w:rsid w:val="00EA5052"/>
    <w:rsid w:val="00EC656D"/>
    <w:rsid w:val="00F27096"/>
    <w:rsid w:val="00F4746E"/>
    <w:rsid w:val="00F67EAB"/>
    <w:rsid w:val="00F7469D"/>
    <w:rsid w:val="00FB1F0F"/>
    <w:rsid w:val="00F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1DC4"/>
  <w15:chartTrackingRefBased/>
  <w15:docId w15:val="{4B51B150-2592-4E78-A7F4-23CFB1A9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6">
    <w:name w:val="Style6"/>
    <w:basedOn w:val="DefaultParagraphFont"/>
    <w:uiPriority w:val="1"/>
    <w:rsid w:val="009125C9"/>
    <w:rPr>
      <w:rFonts w:ascii="Times New Roman" w:hAnsi="Times New Roman"/>
      <w:b/>
      <w:color w:val="000000" w:themeColor="text1"/>
      <w:sz w:val="22"/>
    </w:rPr>
  </w:style>
  <w:style w:type="character" w:customStyle="1" w:styleId="Style7">
    <w:name w:val="Style7"/>
    <w:basedOn w:val="DefaultParagraphFont"/>
    <w:uiPriority w:val="1"/>
    <w:rsid w:val="009125C9"/>
    <w:rPr>
      <w:rFonts w:ascii="Times New Roman" w:hAnsi="Times New Roman"/>
      <w:b/>
      <w:sz w:val="22"/>
    </w:rPr>
  </w:style>
  <w:style w:type="character" w:customStyle="1" w:styleId="Style10">
    <w:name w:val="Style10"/>
    <w:basedOn w:val="DefaultParagraphFont"/>
    <w:uiPriority w:val="1"/>
    <w:rsid w:val="00805C6E"/>
    <w:rPr>
      <w:rFonts w:ascii="Times New Roman" w:hAnsi="Times New Roman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B4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0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2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SUSHMITA TALUKDAR(Apprentice Trainee)</dc:creator>
  <cp:keywords/>
  <dc:description/>
  <cp:lastModifiedBy>Akshay Jyoti Baruah [अक्षय ज्योति बरुवा]</cp:lastModifiedBy>
  <cp:revision>65</cp:revision>
  <dcterms:created xsi:type="dcterms:W3CDTF">2024-07-23T04:38:00Z</dcterms:created>
  <dcterms:modified xsi:type="dcterms:W3CDTF">2024-11-14T05:12:00Z</dcterms:modified>
</cp:coreProperties>
</file>