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4946" w14:textId="7A24C6BA" w:rsidR="00EA2EBF" w:rsidRPr="00B63C3A" w:rsidRDefault="00DB6513" w:rsidP="00C21703">
      <w:pPr>
        <w:pStyle w:val="NoSpacing"/>
        <w:spacing w:after="120" w:line="264" w:lineRule="auto"/>
        <w:contextualSpacing/>
        <w:jc w:val="both"/>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 xml:space="preserve">Reply to Parliament Question No </w:t>
      </w:r>
      <w:r w:rsidR="00CC0CE0">
        <w:rPr>
          <w:rFonts w:ascii="Calibri" w:hAnsi="Calibri" w:cs="Calibri"/>
          <w:b/>
          <w:color w:val="000000" w:themeColor="text1"/>
          <w:sz w:val="24"/>
          <w:szCs w:val="24"/>
          <w:u w:val="single"/>
        </w:rPr>
        <w:t>6634</w:t>
      </w:r>
      <w:r w:rsidRPr="00B63C3A">
        <w:rPr>
          <w:rFonts w:ascii="Calibri" w:hAnsi="Calibri" w:cs="Calibri"/>
          <w:b/>
          <w:color w:val="000000" w:themeColor="text1"/>
          <w:sz w:val="24"/>
          <w:szCs w:val="24"/>
          <w:u w:val="single"/>
        </w:rPr>
        <w:t xml:space="preserve"> for </w:t>
      </w:r>
      <w:r w:rsidR="002E1928">
        <w:rPr>
          <w:rFonts w:ascii="Calibri" w:hAnsi="Calibri" w:cs="Calibri"/>
          <w:b/>
          <w:color w:val="000000" w:themeColor="text1"/>
          <w:sz w:val="24"/>
          <w:szCs w:val="24"/>
          <w:u w:val="single"/>
        </w:rPr>
        <w:t>2</w:t>
      </w:r>
      <w:r w:rsidR="00CC0CE0">
        <w:rPr>
          <w:rFonts w:ascii="Calibri" w:hAnsi="Calibri" w:cs="Calibri"/>
          <w:b/>
          <w:color w:val="000000" w:themeColor="text1"/>
          <w:sz w:val="24"/>
          <w:szCs w:val="24"/>
          <w:u w:val="single"/>
        </w:rPr>
        <w:t>4</w:t>
      </w:r>
      <w:r w:rsidRPr="00B63C3A">
        <w:rPr>
          <w:rFonts w:ascii="Calibri" w:hAnsi="Calibri" w:cs="Calibri"/>
          <w:b/>
          <w:color w:val="000000" w:themeColor="text1"/>
          <w:sz w:val="24"/>
          <w:szCs w:val="24"/>
          <w:u w:val="single"/>
        </w:rPr>
        <w:t>.</w:t>
      </w:r>
      <w:r w:rsidR="0083108F" w:rsidRPr="00B63C3A">
        <w:rPr>
          <w:rFonts w:ascii="Calibri" w:hAnsi="Calibri" w:cs="Calibri"/>
          <w:b/>
          <w:color w:val="000000" w:themeColor="text1"/>
          <w:sz w:val="24"/>
          <w:szCs w:val="24"/>
          <w:u w:val="single"/>
        </w:rPr>
        <w:t>0</w:t>
      </w:r>
      <w:r w:rsidR="00E43532">
        <w:rPr>
          <w:rFonts w:ascii="Calibri" w:hAnsi="Calibri" w:cs="Calibri"/>
          <w:b/>
          <w:color w:val="000000" w:themeColor="text1"/>
          <w:sz w:val="24"/>
          <w:szCs w:val="24"/>
          <w:u w:val="single"/>
        </w:rPr>
        <w:t>3</w:t>
      </w:r>
      <w:r w:rsidRPr="00B63C3A">
        <w:rPr>
          <w:rFonts w:ascii="Calibri" w:hAnsi="Calibri" w:cs="Calibri"/>
          <w:b/>
          <w:color w:val="000000" w:themeColor="text1"/>
          <w:sz w:val="24"/>
          <w:szCs w:val="24"/>
          <w:u w:val="single"/>
        </w:rPr>
        <w:t>.202</w:t>
      </w:r>
      <w:r w:rsidR="0083108F" w:rsidRPr="00B63C3A">
        <w:rPr>
          <w:rFonts w:ascii="Calibri" w:hAnsi="Calibri" w:cs="Calibri"/>
          <w:b/>
          <w:color w:val="000000" w:themeColor="text1"/>
          <w:sz w:val="24"/>
          <w:szCs w:val="24"/>
          <w:u w:val="single"/>
        </w:rPr>
        <w:t>5</w:t>
      </w:r>
      <w:r w:rsidRPr="00B63C3A">
        <w:rPr>
          <w:rFonts w:ascii="Calibri" w:hAnsi="Calibri" w:cs="Calibri"/>
          <w:b/>
          <w:color w:val="000000" w:themeColor="text1"/>
          <w:sz w:val="24"/>
          <w:szCs w:val="24"/>
          <w:u w:val="single"/>
        </w:rPr>
        <w:t xml:space="preserve"> for </w:t>
      </w:r>
      <w:r w:rsidR="00CC0CE0">
        <w:rPr>
          <w:rFonts w:ascii="Calibri" w:hAnsi="Calibri" w:cs="Calibri"/>
          <w:b/>
          <w:color w:val="000000" w:themeColor="text1"/>
          <w:sz w:val="24"/>
          <w:szCs w:val="24"/>
          <w:u w:val="single"/>
        </w:rPr>
        <w:t>Rajya</w:t>
      </w:r>
      <w:r w:rsidR="0083108F" w:rsidRPr="00B63C3A">
        <w:rPr>
          <w:rFonts w:ascii="Calibri" w:hAnsi="Calibri" w:cs="Calibri"/>
          <w:b/>
          <w:color w:val="000000" w:themeColor="text1"/>
          <w:sz w:val="24"/>
          <w:szCs w:val="24"/>
          <w:u w:val="single"/>
        </w:rPr>
        <w:t xml:space="preserve"> </w:t>
      </w:r>
      <w:r w:rsidRPr="00B63C3A">
        <w:rPr>
          <w:rFonts w:ascii="Calibri" w:hAnsi="Calibri" w:cs="Calibri"/>
          <w:b/>
          <w:color w:val="000000" w:themeColor="text1"/>
          <w:sz w:val="24"/>
          <w:szCs w:val="24"/>
          <w:u w:val="single"/>
        </w:rPr>
        <w:t>Sabha regarding “</w:t>
      </w:r>
      <w:r w:rsidR="00CC0CE0">
        <w:rPr>
          <w:rFonts w:ascii="Calibri" w:hAnsi="Calibri" w:cs="Calibri"/>
          <w:b/>
          <w:bCs/>
          <w:color w:val="000000" w:themeColor="text1"/>
          <w:sz w:val="24"/>
          <w:szCs w:val="24"/>
          <w:u w:val="single"/>
        </w:rPr>
        <w:t>Exports</w:t>
      </w:r>
      <w:r w:rsidRPr="00B63C3A">
        <w:rPr>
          <w:rFonts w:ascii="Calibri" w:hAnsi="Calibri" w:cs="Calibri"/>
          <w:b/>
          <w:color w:val="000000" w:themeColor="text1"/>
          <w:sz w:val="24"/>
          <w:szCs w:val="24"/>
          <w:u w:val="single"/>
        </w:rPr>
        <w:t>” in respect of Numaligarh Refinery Limited (NRL):</w:t>
      </w:r>
    </w:p>
    <w:p w14:paraId="2F8F0947" w14:textId="77777777" w:rsidR="00DB6513" w:rsidRPr="00B63C3A" w:rsidRDefault="00DB6513" w:rsidP="00DB6513">
      <w:pPr>
        <w:pStyle w:val="NoSpacing"/>
        <w:spacing w:after="120" w:line="264" w:lineRule="auto"/>
        <w:contextualSpacing/>
        <w:jc w:val="both"/>
        <w:rPr>
          <w:rFonts w:ascii="Calibri" w:hAnsi="Calibri" w:cs="Calibri"/>
          <w:b/>
          <w:color w:val="000000" w:themeColor="text1"/>
          <w:sz w:val="24"/>
          <w:szCs w:val="24"/>
          <w:u w:val="single"/>
        </w:rPr>
      </w:pPr>
    </w:p>
    <w:p w14:paraId="756F1BD3" w14:textId="0596702B" w:rsidR="00F9550B" w:rsidRDefault="00DB6513" w:rsidP="00F9550B">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(a):</w:t>
      </w:r>
      <w:r w:rsidRPr="00B63C3A">
        <w:rPr>
          <w:rFonts w:ascii="Calibri" w:eastAsia="Times New Roman" w:hAnsi="Calibri" w:cs="Calibri"/>
          <w:b/>
          <w:color w:val="000000" w:themeColor="text1"/>
          <w:sz w:val="24"/>
          <w:szCs w:val="24"/>
        </w:rPr>
        <w:tab/>
      </w:r>
      <w:r w:rsidR="00F9550B" w:rsidRPr="00F9550B">
        <w:rPr>
          <w:rFonts w:ascii="Calibri" w:eastAsia="Times New Roman" w:hAnsi="Calibri" w:cs="Calibri"/>
          <w:b/>
          <w:color w:val="000000" w:themeColor="text1"/>
          <w:sz w:val="24"/>
          <w:szCs w:val="24"/>
        </w:rPr>
        <w:t xml:space="preserve">what is the impact of the 28.6% decline in petroleum product exports on the nation's trade balance and foreign exchange </w:t>
      </w:r>
      <w:proofErr w:type="gramStart"/>
      <w:r w:rsidR="00F9550B" w:rsidRPr="00F9550B">
        <w:rPr>
          <w:rFonts w:ascii="Calibri" w:eastAsia="Times New Roman" w:hAnsi="Calibri" w:cs="Calibri"/>
          <w:b/>
          <w:color w:val="000000" w:themeColor="text1"/>
          <w:sz w:val="24"/>
          <w:szCs w:val="24"/>
        </w:rPr>
        <w:t>reserves</w:t>
      </w:r>
      <w:r w:rsidR="00F9550B">
        <w:rPr>
          <w:rFonts w:ascii="Calibri" w:eastAsia="Times New Roman" w:hAnsi="Calibri" w:cs="Calibri"/>
          <w:b/>
          <w:color w:val="000000" w:themeColor="text1"/>
          <w:sz w:val="24"/>
          <w:szCs w:val="24"/>
        </w:rPr>
        <w:t>;</w:t>
      </w:r>
      <w:proofErr w:type="gramEnd"/>
    </w:p>
    <w:p w14:paraId="4F54B8E5" w14:textId="126CD23C" w:rsidR="00A72FDF" w:rsidRPr="006C7125" w:rsidRDefault="00DB6513" w:rsidP="006C7125">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70083F94" w14:textId="059ED353" w:rsidR="00453485" w:rsidRDefault="00D5479F" w:rsidP="00EE0549">
      <w:pPr>
        <w:pStyle w:val="NoSpacing"/>
        <w:spacing w:after="120" w:line="264" w:lineRule="auto"/>
        <w:ind w:left="1440" w:hanging="1440"/>
        <w:contextualSpacing/>
        <w:jc w:val="both"/>
        <w:rPr>
          <w:rFonts w:ascii="Calibri" w:hAnsi="Calibri" w:cs="Calibri"/>
          <w:bCs/>
          <w:color w:val="000000" w:themeColor="text1"/>
          <w:sz w:val="24"/>
          <w:szCs w:val="24"/>
        </w:rPr>
      </w:pPr>
      <w:r>
        <w:rPr>
          <w:rFonts w:ascii="Calibri" w:hAnsi="Calibri" w:cs="Calibri"/>
          <w:bCs/>
          <w:iCs/>
          <w:color w:val="000000" w:themeColor="text1"/>
          <w:sz w:val="24"/>
          <w:szCs w:val="24"/>
        </w:rPr>
        <w:tab/>
        <w:t>[</w:t>
      </w:r>
      <w:r w:rsidR="00CB0AD4">
        <w:rPr>
          <w:rFonts w:ascii="Calibri" w:hAnsi="Calibri" w:cs="Calibri"/>
          <w:kern w:val="0"/>
          <w:sz w:val="24"/>
          <w:szCs w:val="24"/>
          <w14:ligatures w14:val="none"/>
        </w:rPr>
        <w:t>The details of exports and revenues earned by NRL from export of refined crude oil products</w:t>
      </w:r>
      <w:r w:rsidR="00F30B0D">
        <w:rPr>
          <w:rFonts w:ascii="Calibri" w:hAnsi="Calibri" w:cs="Calibri"/>
          <w:bCs/>
          <w:color w:val="000000" w:themeColor="text1"/>
          <w:sz w:val="24"/>
          <w:szCs w:val="24"/>
        </w:rPr>
        <w:t xml:space="preserve"> during the last two years and current year is follows –</w:t>
      </w:r>
    </w:p>
    <w:tbl>
      <w:tblPr>
        <w:tblStyle w:val="TableGrid"/>
        <w:tblW w:w="7366" w:type="dxa"/>
        <w:tblInd w:w="1650" w:type="dxa"/>
        <w:tblLook w:val="04A0" w:firstRow="1" w:lastRow="0" w:firstColumn="1" w:lastColumn="0" w:noHBand="0" w:noVBand="1"/>
      </w:tblPr>
      <w:tblGrid>
        <w:gridCol w:w="1277"/>
        <w:gridCol w:w="1047"/>
        <w:gridCol w:w="946"/>
        <w:gridCol w:w="1046"/>
        <w:gridCol w:w="1050"/>
        <w:gridCol w:w="962"/>
        <w:gridCol w:w="1038"/>
      </w:tblGrid>
      <w:tr w:rsidR="00F30B0D" w:rsidRPr="008565D0" w14:paraId="12FFF01C" w14:textId="77777777" w:rsidTr="00D67ED7">
        <w:tc>
          <w:tcPr>
            <w:tcW w:w="1277" w:type="dxa"/>
            <w:vMerge w:val="restart"/>
            <w:vAlign w:val="center"/>
          </w:tcPr>
          <w:p w14:paraId="3DA98B95" w14:textId="57E1F01F" w:rsidR="00F30B0D" w:rsidRPr="00336816" w:rsidRDefault="00F30B0D" w:rsidP="008A7B18">
            <w:pPr>
              <w:jc w:val="center"/>
              <w:rPr>
                <w:rFonts w:cstheme="minorHAnsi"/>
                <w:b/>
                <w:bCs/>
                <w:sz w:val="20"/>
                <w:szCs w:val="20"/>
              </w:rPr>
            </w:pPr>
            <w:r>
              <w:rPr>
                <w:rFonts w:cstheme="minorHAnsi"/>
                <w:b/>
                <w:bCs/>
                <w:sz w:val="20"/>
                <w:szCs w:val="20"/>
              </w:rPr>
              <w:t>FY</w:t>
            </w:r>
          </w:p>
        </w:tc>
        <w:tc>
          <w:tcPr>
            <w:tcW w:w="3039" w:type="dxa"/>
            <w:gridSpan w:val="3"/>
            <w:vAlign w:val="center"/>
          </w:tcPr>
          <w:p w14:paraId="2C5CAB3F" w14:textId="47384B21" w:rsidR="00F30B0D" w:rsidRPr="008565D0" w:rsidRDefault="00F30B0D" w:rsidP="008A7B18">
            <w:pPr>
              <w:jc w:val="center"/>
              <w:rPr>
                <w:rFonts w:cstheme="minorHAnsi"/>
                <w:b/>
                <w:bCs/>
                <w:sz w:val="20"/>
                <w:szCs w:val="20"/>
              </w:rPr>
            </w:pPr>
            <w:r w:rsidRPr="008565D0">
              <w:rPr>
                <w:rFonts w:cstheme="minorHAnsi"/>
                <w:b/>
                <w:bCs/>
                <w:sz w:val="20"/>
                <w:szCs w:val="20"/>
              </w:rPr>
              <w:t>Gas Oil</w:t>
            </w:r>
          </w:p>
        </w:tc>
        <w:tc>
          <w:tcPr>
            <w:tcW w:w="3050" w:type="dxa"/>
            <w:gridSpan w:val="3"/>
            <w:vAlign w:val="center"/>
          </w:tcPr>
          <w:p w14:paraId="7A225ABD" w14:textId="231D35FB" w:rsidR="00F30B0D" w:rsidRPr="008565D0" w:rsidRDefault="00F30B0D" w:rsidP="008A7B18">
            <w:pPr>
              <w:jc w:val="center"/>
              <w:rPr>
                <w:rFonts w:eastAsia="Times New Roman" w:cstheme="minorHAnsi"/>
                <w:b/>
                <w:bCs/>
                <w:color w:val="000000"/>
                <w:sz w:val="20"/>
                <w:szCs w:val="20"/>
              </w:rPr>
            </w:pPr>
            <w:r w:rsidRPr="008565D0">
              <w:rPr>
                <w:rFonts w:eastAsia="Times New Roman" w:cstheme="minorHAnsi"/>
                <w:b/>
                <w:bCs/>
                <w:color w:val="000000"/>
                <w:sz w:val="20"/>
                <w:szCs w:val="20"/>
              </w:rPr>
              <w:t>Paraffin Wax</w:t>
            </w:r>
          </w:p>
        </w:tc>
      </w:tr>
      <w:tr w:rsidR="00F30B0D" w:rsidRPr="00336816" w14:paraId="0965D9E3" w14:textId="77777777" w:rsidTr="00D67ED7">
        <w:tc>
          <w:tcPr>
            <w:tcW w:w="1277" w:type="dxa"/>
            <w:vMerge/>
            <w:vAlign w:val="center"/>
          </w:tcPr>
          <w:p w14:paraId="6427B36B" w14:textId="77777777" w:rsidR="00F30B0D" w:rsidRPr="00336816" w:rsidRDefault="00F30B0D" w:rsidP="00F30B0D">
            <w:pPr>
              <w:jc w:val="center"/>
              <w:rPr>
                <w:rFonts w:cstheme="minorHAnsi"/>
                <w:b/>
                <w:bCs/>
                <w:sz w:val="20"/>
                <w:szCs w:val="20"/>
              </w:rPr>
            </w:pPr>
          </w:p>
        </w:tc>
        <w:tc>
          <w:tcPr>
            <w:tcW w:w="1047" w:type="dxa"/>
            <w:vAlign w:val="center"/>
          </w:tcPr>
          <w:p w14:paraId="621B07AE" w14:textId="77777777" w:rsidR="00F30B0D" w:rsidRPr="00336816" w:rsidRDefault="00F30B0D" w:rsidP="00F30B0D">
            <w:pPr>
              <w:jc w:val="center"/>
              <w:rPr>
                <w:rFonts w:eastAsia="Times New Roman" w:cstheme="minorHAnsi"/>
                <w:b/>
                <w:bCs/>
                <w:color w:val="000000"/>
                <w:sz w:val="20"/>
                <w:szCs w:val="20"/>
              </w:rPr>
            </w:pPr>
            <w:r w:rsidRPr="00336816">
              <w:rPr>
                <w:rFonts w:eastAsia="Times New Roman" w:cstheme="minorHAnsi"/>
                <w:b/>
                <w:bCs/>
                <w:color w:val="000000"/>
                <w:sz w:val="20"/>
                <w:szCs w:val="20"/>
              </w:rPr>
              <w:t>Qty (TMT)</w:t>
            </w:r>
          </w:p>
        </w:tc>
        <w:tc>
          <w:tcPr>
            <w:tcW w:w="946" w:type="dxa"/>
            <w:vAlign w:val="center"/>
          </w:tcPr>
          <w:p w14:paraId="1FD4B4E8" w14:textId="7BD68BB8" w:rsidR="00F30B0D" w:rsidRPr="00336816" w:rsidRDefault="00CD2AFC" w:rsidP="00F30B0D">
            <w:pPr>
              <w:jc w:val="center"/>
              <w:rPr>
                <w:rFonts w:eastAsia="Times New Roman" w:cstheme="minorHAnsi"/>
                <w:b/>
                <w:bCs/>
                <w:color w:val="000000"/>
                <w:sz w:val="20"/>
                <w:szCs w:val="20"/>
              </w:rPr>
            </w:pPr>
            <w:r w:rsidRPr="00CD2AFC">
              <w:rPr>
                <w:rFonts w:eastAsia="Times New Roman" w:cstheme="minorHAnsi"/>
                <w:b/>
                <w:bCs/>
                <w:color w:val="000000"/>
                <w:sz w:val="20"/>
                <w:szCs w:val="20"/>
              </w:rPr>
              <w:t>US$ in Mn</w:t>
            </w:r>
          </w:p>
        </w:tc>
        <w:tc>
          <w:tcPr>
            <w:tcW w:w="1046" w:type="dxa"/>
            <w:vAlign w:val="center"/>
          </w:tcPr>
          <w:p w14:paraId="1AE41562" w14:textId="77777777" w:rsidR="00CD2AFC" w:rsidRDefault="00CD2AFC" w:rsidP="00CD2AFC">
            <w:pPr>
              <w:jc w:val="center"/>
              <w:rPr>
                <w:rFonts w:eastAsia="Times New Roman" w:cstheme="minorHAnsi"/>
                <w:b/>
                <w:bCs/>
                <w:color w:val="000000"/>
                <w:sz w:val="20"/>
                <w:szCs w:val="20"/>
              </w:rPr>
            </w:pPr>
            <w:r w:rsidRPr="00336816">
              <w:rPr>
                <w:rFonts w:eastAsia="Times New Roman" w:cstheme="minorHAnsi"/>
                <w:b/>
                <w:bCs/>
                <w:color w:val="000000"/>
                <w:sz w:val="20"/>
                <w:szCs w:val="20"/>
              </w:rPr>
              <w:t>(R</w:t>
            </w:r>
            <w:r>
              <w:rPr>
                <w:rFonts w:eastAsia="Times New Roman" w:cstheme="minorHAnsi"/>
                <w:b/>
                <w:bCs/>
                <w:color w:val="000000"/>
                <w:sz w:val="20"/>
                <w:szCs w:val="20"/>
              </w:rPr>
              <w:t>s</w:t>
            </w:r>
          </w:p>
          <w:p w14:paraId="4202890F" w14:textId="3B150CC5" w:rsidR="00F30B0D" w:rsidRPr="00336816" w:rsidRDefault="00CD2AFC" w:rsidP="00CD2AFC">
            <w:pPr>
              <w:jc w:val="center"/>
              <w:rPr>
                <w:rFonts w:eastAsia="Times New Roman" w:cstheme="minorHAnsi"/>
                <w:b/>
                <w:bCs/>
                <w:color w:val="000000"/>
                <w:sz w:val="20"/>
                <w:szCs w:val="20"/>
              </w:rPr>
            </w:pPr>
            <w:r w:rsidRPr="00336816">
              <w:rPr>
                <w:rFonts w:eastAsia="Times New Roman" w:cstheme="minorHAnsi"/>
                <w:b/>
                <w:bCs/>
                <w:color w:val="000000"/>
                <w:sz w:val="20"/>
                <w:szCs w:val="20"/>
              </w:rPr>
              <w:t>in Cr.)</w:t>
            </w:r>
          </w:p>
        </w:tc>
        <w:tc>
          <w:tcPr>
            <w:tcW w:w="1050" w:type="dxa"/>
            <w:vAlign w:val="center"/>
          </w:tcPr>
          <w:p w14:paraId="7650DF09" w14:textId="77777777" w:rsidR="00F30B0D" w:rsidRPr="00336816" w:rsidRDefault="00F30B0D" w:rsidP="00F30B0D">
            <w:pPr>
              <w:jc w:val="center"/>
              <w:rPr>
                <w:rFonts w:eastAsia="Times New Roman" w:cstheme="minorHAnsi"/>
                <w:b/>
                <w:bCs/>
                <w:color w:val="000000"/>
                <w:sz w:val="20"/>
                <w:szCs w:val="20"/>
              </w:rPr>
            </w:pPr>
            <w:r w:rsidRPr="00336816">
              <w:rPr>
                <w:rFonts w:eastAsia="Times New Roman" w:cstheme="minorHAnsi"/>
                <w:b/>
                <w:bCs/>
                <w:color w:val="000000"/>
                <w:sz w:val="20"/>
                <w:szCs w:val="20"/>
              </w:rPr>
              <w:t>Qty (TMT)</w:t>
            </w:r>
          </w:p>
        </w:tc>
        <w:tc>
          <w:tcPr>
            <w:tcW w:w="962" w:type="dxa"/>
            <w:vAlign w:val="center"/>
          </w:tcPr>
          <w:p w14:paraId="773744E2" w14:textId="29154FBC" w:rsidR="00F30B0D" w:rsidRPr="00336816" w:rsidRDefault="00CD2AFC" w:rsidP="00F30B0D">
            <w:pPr>
              <w:jc w:val="center"/>
              <w:rPr>
                <w:rFonts w:eastAsia="Times New Roman" w:cstheme="minorHAnsi"/>
                <w:b/>
                <w:bCs/>
                <w:color w:val="000000"/>
                <w:sz w:val="20"/>
                <w:szCs w:val="20"/>
              </w:rPr>
            </w:pPr>
            <w:r w:rsidRPr="00CD2AFC">
              <w:rPr>
                <w:rFonts w:eastAsia="Times New Roman" w:cstheme="minorHAnsi"/>
                <w:b/>
                <w:bCs/>
                <w:color w:val="000000"/>
                <w:sz w:val="20"/>
                <w:szCs w:val="20"/>
              </w:rPr>
              <w:t>US$ in Mn</w:t>
            </w:r>
          </w:p>
        </w:tc>
        <w:tc>
          <w:tcPr>
            <w:tcW w:w="1038" w:type="dxa"/>
            <w:vAlign w:val="center"/>
          </w:tcPr>
          <w:p w14:paraId="17894D44" w14:textId="336CFD1E" w:rsidR="00F30B0D" w:rsidRPr="00336816" w:rsidRDefault="00F30B0D" w:rsidP="00F30B0D">
            <w:pPr>
              <w:jc w:val="center"/>
              <w:rPr>
                <w:rFonts w:eastAsia="Times New Roman" w:cstheme="minorHAnsi"/>
                <w:b/>
                <w:bCs/>
                <w:color w:val="000000"/>
                <w:sz w:val="20"/>
                <w:szCs w:val="20"/>
              </w:rPr>
            </w:pPr>
            <w:r w:rsidRPr="00336816">
              <w:rPr>
                <w:rFonts w:eastAsia="Times New Roman" w:cstheme="minorHAnsi"/>
                <w:b/>
                <w:bCs/>
                <w:color w:val="000000"/>
                <w:sz w:val="20"/>
                <w:szCs w:val="20"/>
              </w:rPr>
              <w:t>(RS in Cr.)</w:t>
            </w:r>
          </w:p>
        </w:tc>
      </w:tr>
      <w:tr w:rsidR="00F30B0D" w:rsidRPr="00336816" w14:paraId="0B21359B" w14:textId="77777777" w:rsidTr="00D67ED7">
        <w:tc>
          <w:tcPr>
            <w:tcW w:w="1277" w:type="dxa"/>
            <w:vAlign w:val="center"/>
          </w:tcPr>
          <w:p w14:paraId="6251F8CD" w14:textId="0E6CD953" w:rsidR="00F30B0D" w:rsidRPr="00336816" w:rsidRDefault="00F30B0D" w:rsidP="00F30B0D">
            <w:pPr>
              <w:jc w:val="both"/>
              <w:rPr>
                <w:rFonts w:cstheme="minorHAnsi"/>
                <w:sz w:val="20"/>
                <w:szCs w:val="20"/>
              </w:rPr>
            </w:pPr>
            <w:r>
              <w:rPr>
                <w:rFonts w:cstheme="minorHAnsi"/>
                <w:sz w:val="20"/>
                <w:szCs w:val="20"/>
              </w:rPr>
              <w:t>2022-23</w:t>
            </w:r>
          </w:p>
        </w:tc>
        <w:tc>
          <w:tcPr>
            <w:tcW w:w="1047" w:type="dxa"/>
            <w:vAlign w:val="center"/>
          </w:tcPr>
          <w:p w14:paraId="7DC2B493" w14:textId="67CD2C55" w:rsidR="00F30B0D" w:rsidRPr="00336816" w:rsidRDefault="0071254A" w:rsidP="00F30B0D">
            <w:pPr>
              <w:jc w:val="center"/>
              <w:rPr>
                <w:rFonts w:cstheme="minorHAnsi"/>
                <w:sz w:val="20"/>
                <w:szCs w:val="20"/>
              </w:rPr>
            </w:pPr>
            <w:r>
              <w:rPr>
                <w:rFonts w:cstheme="minorHAnsi"/>
                <w:sz w:val="20"/>
                <w:szCs w:val="20"/>
              </w:rPr>
              <w:t>50.34</w:t>
            </w:r>
          </w:p>
        </w:tc>
        <w:tc>
          <w:tcPr>
            <w:tcW w:w="946" w:type="dxa"/>
            <w:vAlign w:val="center"/>
          </w:tcPr>
          <w:p w14:paraId="3AD6AB8D" w14:textId="407E0372" w:rsidR="00F30B0D" w:rsidRPr="008565D0" w:rsidRDefault="0071254A" w:rsidP="00F30B0D">
            <w:pPr>
              <w:jc w:val="center"/>
              <w:rPr>
                <w:rFonts w:cstheme="minorHAnsi"/>
                <w:sz w:val="20"/>
                <w:szCs w:val="20"/>
              </w:rPr>
            </w:pPr>
            <w:r>
              <w:rPr>
                <w:rFonts w:cstheme="minorHAnsi"/>
                <w:sz w:val="20"/>
                <w:szCs w:val="20"/>
              </w:rPr>
              <w:t>48.8</w:t>
            </w:r>
          </w:p>
        </w:tc>
        <w:tc>
          <w:tcPr>
            <w:tcW w:w="1046" w:type="dxa"/>
            <w:vAlign w:val="center"/>
          </w:tcPr>
          <w:p w14:paraId="31965F05" w14:textId="6628ED24" w:rsidR="00F30B0D" w:rsidRPr="00336816" w:rsidRDefault="00EE0549" w:rsidP="00F30B0D">
            <w:pPr>
              <w:jc w:val="center"/>
              <w:rPr>
                <w:rFonts w:cstheme="minorHAnsi"/>
                <w:sz w:val="20"/>
                <w:szCs w:val="20"/>
              </w:rPr>
            </w:pPr>
            <w:r>
              <w:rPr>
                <w:rFonts w:cstheme="minorHAnsi"/>
                <w:sz w:val="20"/>
                <w:szCs w:val="20"/>
              </w:rPr>
              <w:t>393.03</w:t>
            </w:r>
          </w:p>
        </w:tc>
        <w:tc>
          <w:tcPr>
            <w:tcW w:w="1050" w:type="dxa"/>
            <w:vAlign w:val="center"/>
          </w:tcPr>
          <w:p w14:paraId="70C800C8" w14:textId="7FB88FD2" w:rsidR="00F30B0D" w:rsidRPr="00336816" w:rsidRDefault="0071254A" w:rsidP="00F30B0D">
            <w:pPr>
              <w:jc w:val="center"/>
              <w:rPr>
                <w:rFonts w:cstheme="minorHAnsi"/>
                <w:sz w:val="20"/>
                <w:szCs w:val="20"/>
              </w:rPr>
            </w:pPr>
            <w:r>
              <w:rPr>
                <w:rFonts w:cstheme="minorHAnsi"/>
                <w:sz w:val="20"/>
                <w:szCs w:val="20"/>
              </w:rPr>
              <w:t>0.19</w:t>
            </w:r>
          </w:p>
        </w:tc>
        <w:tc>
          <w:tcPr>
            <w:tcW w:w="962" w:type="dxa"/>
            <w:vAlign w:val="center"/>
          </w:tcPr>
          <w:p w14:paraId="14675A80" w14:textId="00BEBB09" w:rsidR="00F30B0D" w:rsidRPr="008565D0" w:rsidRDefault="0071254A" w:rsidP="00F30B0D">
            <w:pPr>
              <w:jc w:val="center"/>
              <w:rPr>
                <w:rFonts w:cstheme="minorHAnsi"/>
                <w:sz w:val="20"/>
                <w:szCs w:val="20"/>
              </w:rPr>
            </w:pPr>
            <w:r>
              <w:rPr>
                <w:rFonts w:cstheme="minorHAnsi"/>
                <w:sz w:val="20"/>
                <w:szCs w:val="20"/>
              </w:rPr>
              <w:t>0.28</w:t>
            </w:r>
          </w:p>
        </w:tc>
        <w:tc>
          <w:tcPr>
            <w:tcW w:w="1038" w:type="dxa"/>
            <w:vAlign w:val="center"/>
          </w:tcPr>
          <w:p w14:paraId="43D2DAD0" w14:textId="7E3DE1E3" w:rsidR="00F30B0D" w:rsidRPr="00336816" w:rsidRDefault="0071254A" w:rsidP="00F30B0D">
            <w:pPr>
              <w:jc w:val="center"/>
              <w:rPr>
                <w:rFonts w:cstheme="minorHAnsi"/>
                <w:sz w:val="20"/>
                <w:szCs w:val="20"/>
              </w:rPr>
            </w:pPr>
            <w:r>
              <w:rPr>
                <w:rFonts w:cstheme="minorHAnsi"/>
                <w:sz w:val="20"/>
                <w:szCs w:val="20"/>
              </w:rPr>
              <w:t>2.24</w:t>
            </w:r>
          </w:p>
        </w:tc>
      </w:tr>
      <w:tr w:rsidR="00F30B0D" w:rsidRPr="00336816" w14:paraId="2CCA4BB4" w14:textId="77777777" w:rsidTr="00D67ED7">
        <w:tc>
          <w:tcPr>
            <w:tcW w:w="1277" w:type="dxa"/>
            <w:vAlign w:val="center"/>
          </w:tcPr>
          <w:p w14:paraId="1B0F2A5F" w14:textId="3CCF2196" w:rsidR="00F30B0D" w:rsidRPr="00336816" w:rsidRDefault="00F30B0D" w:rsidP="00F30B0D">
            <w:pPr>
              <w:jc w:val="both"/>
              <w:rPr>
                <w:rFonts w:cstheme="minorHAnsi"/>
                <w:sz w:val="20"/>
                <w:szCs w:val="20"/>
              </w:rPr>
            </w:pPr>
            <w:r>
              <w:rPr>
                <w:rFonts w:cstheme="minorHAnsi"/>
                <w:sz w:val="20"/>
                <w:szCs w:val="20"/>
              </w:rPr>
              <w:t>2023-24</w:t>
            </w:r>
          </w:p>
        </w:tc>
        <w:tc>
          <w:tcPr>
            <w:tcW w:w="1047" w:type="dxa"/>
            <w:vAlign w:val="center"/>
          </w:tcPr>
          <w:p w14:paraId="2FD943BF" w14:textId="54CFB1DF" w:rsidR="00F30B0D" w:rsidRPr="00336816" w:rsidRDefault="0080435D" w:rsidP="00F30B0D">
            <w:pPr>
              <w:jc w:val="center"/>
              <w:rPr>
                <w:rFonts w:cstheme="minorHAnsi"/>
                <w:sz w:val="20"/>
                <w:szCs w:val="20"/>
              </w:rPr>
            </w:pPr>
            <w:r>
              <w:rPr>
                <w:rFonts w:cstheme="minorHAnsi"/>
                <w:sz w:val="20"/>
                <w:szCs w:val="20"/>
              </w:rPr>
              <w:t>38.11</w:t>
            </w:r>
          </w:p>
        </w:tc>
        <w:tc>
          <w:tcPr>
            <w:tcW w:w="946" w:type="dxa"/>
            <w:vAlign w:val="center"/>
          </w:tcPr>
          <w:p w14:paraId="6426C605" w14:textId="6B08D3EA" w:rsidR="00F30B0D" w:rsidRPr="008565D0" w:rsidRDefault="0080435D" w:rsidP="00F30B0D">
            <w:pPr>
              <w:jc w:val="center"/>
              <w:rPr>
                <w:rFonts w:cstheme="minorHAnsi"/>
                <w:sz w:val="20"/>
                <w:szCs w:val="20"/>
              </w:rPr>
            </w:pPr>
            <w:r>
              <w:rPr>
                <w:rFonts w:cstheme="minorHAnsi"/>
                <w:sz w:val="20"/>
                <w:szCs w:val="20"/>
              </w:rPr>
              <w:t>31.5</w:t>
            </w:r>
          </w:p>
        </w:tc>
        <w:tc>
          <w:tcPr>
            <w:tcW w:w="1046" w:type="dxa"/>
            <w:vAlign w:val="center"/>
          </w:tcPr>
          <w:p w14:paraId="3D08C9EF" w14:textId="32F1F295" w:rsidR="00F30B0D" w:rsidRPr="00336816" w:rsidRDefault="0080435D" w:rsidP="00F30B0D">
            <w:pPr>
              <w:jc w:val="center"/>
              <w:rPr>
                <w:rFonts w:cstheme="minorHAnsi"/>
                <w:sz w:val="20"/>
                <w:szCs w:val="20"/>
              </w:rPr>
            </w:pPr>
            <w:r>
              <w:rPr>
                <w:rFonts w:cstheme="minorHAnsi"/>
                <w:sz w:val="20"/>
                <w:szCs w:val="20"/>
              </w:rPr>
              <w:t>262.09</w:t>
            </w:r>
          </w:p>
        </w:tc>
        <w:tc>
          <w:tcPr>
            <w:tcW w:w="1050" w:type="dxa"/>
            <w:vAlign w:val="center"/>
          </w:tcPr>
          <w:p w14:paraId="15379D9C" w14:textId="045F891C" w:rsidR="00F30B0D" w:rsidRPr="00336816" w:rsidRDefault="00434CF8" w:rsidP="00F30B0D">
            <w:pPr>
              <w:jc w:val="center"/>
              <w:rPr>
                <w:rFonts w:cstheme="minorHAnsi"/>
                <w:sz w:val="20"/>
                <w:szCs w:val="20"/>
              </w:rPr>
            </w:pPr>
            <w:r>
              <w:rPr>
                <w:rFonts w:cstheme="minorHAnsi"/>
                <w:sz w:val="20"/>
                <w:szCs w:val="20"/>
              </w:rPr>
              <w:t>0.21</w:t>
            </w:r>
          </w:p>
        </w:tc>
        <w:tc>
          <w:tcPr>
            <w:tcW w:w="962" w:type="dxa"/>
            <w:vAlign w:val="center"/>
          </w:tcPr>
          <w:p w14:paraId="47819800" w14:textId="6F9BFB33" w:rsidR="00F30B0D" w:rsidRDefault="00434CF8" w:rsidP="00F30B0D">
            <w:pPr>
              <w:jc w:val="center"/>
              <w:rPr>
                <w:rFonts w:cstheme="minorHAnsi"/>
                <w:sz w:val="20"/>
                <w:szCs w:val="20"/>
              </w:rPr>
            </w:pPr>
            <w:r>
              <w:rPr>
                <w:rFonts w:cstheme="minorHAnsi"/>
                <w:sz w:val="20"/>
                <w:szCs w:val="20"/>
              </w:rPr>
              <w:t>0.27</w:t>
            </w:r>
          </w:p>
        </w:tc>
        <w:tc>
          <w:tcPr>
            <w:tcW w:w="1038" w:type="dxa"/>
            <w:vAlign w:val="center"/>
          </w:tcPr>
          <w:p w14:paraId="11A61D9A" w14:textId="3B1AA0EB" w:rsidR="00F30B0D" w:rsidRPr="00336816" w:rsidRDefault="00434CF8" w:rsidP="00F30B0D">
            <w:pPr>
              <w:jc w:val="center"/>
              <w:rPr>
                <w:rFonts w:cstheme="minorHAnsi"/>
                <w:sz w:val="20"/>
                <w:szCs w:val="20"/>
              </w:rPr>
            </w:pPr>
            <w:r>
              <w:rPr>
                <w:rFonts w:cstheme="minorHAnsi"/>
                <w:sz w:val="20"/>
                <w:szCs w:val="20"/>
              </w:rPr>
              <w:t>2.24</w:t>
            </w:r>
          </w:p>
        </w:tc>
      </w:tr>
      <w:tr w:rsidR="00F30B0D" w:rsidRPr="00336816" w14:paraId="7E7E8C1B" w14:textId="77777777" w:rsidTr="00D67ED7">
        <w:tc>
          <w:tcPr>
            <w:tcW w:w="1277" w:type="dxa"/>
            <w:vAlign w:val="center"/>
          </w:tcPr>
          <w:p w14:paraId="2EA4F2DC" w14:textId="77777777" w:rsidR="00F30B0D" w:rsidRDefault="00F30B0D" w:rsidP="00F30B0D">
            <w:pPr>
              <w:jc w:val="both"/>
              <w:rPr>
                <w:rFonts w:cstheme="minorHAnsi"/>
                <w:sz w:val="20"/>
                <w:szCs w:val="20"/>
              </w:rPr>
            </w:pPr>
            <w:r>
              <w:rPr>
                <w:rFonts w:cstheme="minorHAnsi"/>
                <w:sz w:val="20"/>
                <w:szCs w:val="20"/>
              </w:rPr>
              <w:t>2024-25</w:t>
            </w:r>
          </w:p>
          <w:p w14:paraId="574D5E8F" w14:textId="6F200716" w:rsidR="00F30B0D" w:rsidRPr="00336816" w:rsidRDefault="00F30B0D" w:rsidP="00F30B0D">
            <w:pPr>
              <w:jc w:val="both"/>
              <w:rPr>
                <w:rFonts w:cstheme="minorHAnsi"/>
                <w:sz w:val="20"/>
                <w:szCs w:val="20"/>
              </w:rPr>
            </w:pPr>
            <w:r>
              <w:rPr>
                <w:rFonts w:cstheme="minorHAnsi"/>
                <w:sz w:val="20"/>
                <w:szCs w:val="20"/>
              </w:rPr>
              <w:t>(Apr-Feb)</w:t>
            </w:r>
          </w:p>
        </w:tc>
        <w:tc>
          <w:tcPr>
            <w:tcW w:w="1047" w:type="dxa"/>
            <w:vAlign w:val="center"/>
          </w:tcPr>
          <w:p w14:paraId="4E3170EF" w14:textId="414BD2DD" w:rsidR="00F30B0D" w:rsidRPr="00336816" w:rsidRDefault="00CD2AFC" w:rsidP="00F30B0D">
            <w:pPr>
              <w:jc w:val="center"/>
              <w:rPr>
                <w:rFonts w:cstheme="minorHAnsi"/>
                <w:sz w:val="20"/>
                <w:szCs w:val="20"/>
              </w:rPr>
            </w:pPr>
            <w:r>
              <w:rPr>
                <w:rFonts w:cstheme="minorHAnsi"/>
                <w:sz w:val="20"/>
                <w:szCs w:val="20"/>
              </w:rPr>
              <w:t>70.13</w:t>
            </w:r>
          </w:p>
        </w:tc>
        <w:tc>
          <w:tcPr>
            <w:tcW w:w="946" w:type="dxa"/>
            <w:vAlign w:val="center"/>
          </w:tcPr>
          <w:p w14:paraId="76F045B7" w14:textId="2DA25F31" w:rsidR="00F30B0D" w:rsidRPr="008565D0" w:rsidRDefault="000120D8" w:rsidP="00F30B0D">
            <w:pPr>
              <w:jc w:val="center"/>
              <w:rPr>
                <w:rFonts w:cstheme="minorHAnsi"/>
                <w:sz w:val="20"/>
                <w:szCs w:val="20"/>
              </w:rPr>
            </w:pPr>
            <w:r>
              <w:rPr>
                <w:rFonts w:cstheme="minorHAnsi"/>
                <w:sz w:val="20"/>
                <w:szCs w:val="20"/>
              </w:rPr>
              <w:t>48.6</w:t>
            </w:r>
          </w:p>
        </w:tc>
        <w:tc>
          <w:tcPr>
            <w:tcW w:w="1046" w:type="dxa"/>
            <w:vAlign w:val="center"/>
          </w:tcPr>
          <w:p w14:paraId="59C66A9F" w14:textId="00D95458" w:rsidR="00F30B0D" w:rsidRPr="00336816" w:rsidRDefault="000120D8" w:rsidP="00F30B0D">
            <w:pPr>
              <w:jc w:val="center"/>
              <w:rPr>
                <w:rFonts w:cstheme="minorHAnsi"/>
                <w:sz w:val="20"/>
                <w:szCs w:val="20"/>
              </w:rPr>
            </w:pPr>
            <w:r>
              <w:rPr>
                <w:rFonts w:cstheme="minorHAnsi"/>
                <w:sz w:val="20"/>
                <w:szCs w:val="20"/>
              </w:rPr>
              <w:t>410.45</w:t>
            </w:r>
          </w:p>
        </w:tc>
        <w:tc>
          <w:tcPr>
            <w:tcW w:w="1050" w:type="dxa"/>
            <w:vAlign w:val="center"/>
          </w:tcPr>
          <w:p w14:paraId="2BF541E3" w14:textId="76EB36D9" w:rsidR="00F30B0D" w:rsidRPr="00336816" w:rsidRDefault="00656A92" w:rsidP="00F30B0D">
            <w:pPr>
              <w:jc w:val="center"/>
              <w:rPr>
                <w:rFonts w:cstheme="minorHAnsi"/>
                <w:sz w:val="20"/>
                <w:szCs w:val="20"/>
              </w:rPr>
            </w:pPr>
            <w:r>
              <w:rPr>
                <w:rFonts w:cstheme="minorHAnsi"/>
                <w:sz w:val="20"/>
                <w:szCs w:val="20"/>
              </w:rPr>
              <w:t>0.23</w:t>
            </w:r>
          </w:p>
        </w:tc>
        <w:tc>
          <w:tcPr>
            <w:tcW w:w="962" w:type="dxa"/>
            <w:vAlign w:val="center"/>
          </w:tcPr>
          <w:p w14:paraId="14CBD5B0" w14:textId="207A595A" w:rsidR="00F30B0D" w:rsidRPr="008565D0" w:rsidRDefault="00656A92" w:rsidP="00656A92">
            <w:pPr>
              <w:rPr>
                <w:rFonts w:cstheme="minorHAnsi"/>
                <w:sz w:val="20"/>
                <w:szCs w:val="20"/>
              </w:rPr>
            </w:pPr>
            <w:r>
              <w:rPr>
                <w:rFonts w:cstheme="minorHAnsi"/>
                <w:sz w:val="20"/>
                <w:szCs w:val="20"/>
              </w:rPr>
              <w:t>0.29</w:t>
            </w:r>
          </w:p>
        </w:tc>
        <w:tc>
          <w:tcPr>
            <w:tcW w:w="1038" w:type="dxa"/>
            <w:vAlign w:val="center"/>
          </w:tcPr>
          <w:p w14:paraId="7AED590F" w14:textId="355BF977" w:rsidR="00F30B0D" w:rsidRPr="00336816" w:rsidRDefault="00656A92" w:rsidP="00F30B0D">
            <w:pPr>
              <w:jc w:val="center"/>
              <w:rPr>
                <w:rFonts w:cstheme="minorHAnsi"/>
                <w:sz w:val="20"/>
                <w:szCs w:val="20"/>
              </w:rPr>
            </w:pPr>
            <w:r>
              <w:rPr>
                <w:rFonts w:cstheme="minorHAnsi"/>
                <w:sz w:val="20"/>
                <w:szCs w:val="20"/>
              </w:rPr>
              <w:t>2.</w:t>
            </w:r>
            <w:r w:rsidR="0080435D">
              <w:rPr>
                <w:rFonts w:cstheme="minorHAnsi"/>
                <w:sz w:val="20"/>
                <w:szCs w:val="20"/>
              </w:rPr>
              <w:t>46</w:t>
            </w:r>
          </w:p>
        </w:tc>
      </w:tr>
    </w:tbl>
    <w:p w14:paraId="016DC60D" w14:textId="6B9FD503" w:rsidR="00D5479F" w:rsidRDefault="00D5479F" w:rsidP="00EE0549">
      <w:pPr>
        <w:pStyle w:val="NoSpacing"/>
        <w:spacing w:after="120" w:line="264" w:lineRule="auto"/>
        <w:ind w:left="720" w:firstLine="720"/>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w:t>
      </w:r>
    </w:p>
    <w:p w14:paraId="4809AE06" w14:textId="77777777" w:rsidR="00D5479F" w:rsidRPr="00B63C3A" w:rsidRDefault="00D5479F" w:rsidP="001D1E10">
      <w:pPr>
        <w:pStyle w:val="NoSpacing"/>
        <w:spacing w:after="120" w:line="264" w:lineRule="auto"/>
        <w:contextualSpacing/>
        <w:jc w:val="both"/>
        <w:rPr>
          <w:rFonts w:ascii="Calibri" w:hAnsi="Calibri" w:cs="Calibri"/>
          <w:bCs/>
          <w:iCs/>
          <w:color w:val="000000" w:themeColor="text1"/>
          <w:sz w:val="24"/>
          <w:szCs w:val="24"/>
        </w:rPr>
      </w:pPr>
    </w:p>
    <w:p w14:paraId="7C40786A" w14:textId="58997A8D" w:rsidR="007A667C" w:rsidRDefault="00DB6513" w:rsidP="00E611C2">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(b):</w:t>
      </w:r>
      <w:r w:rsidRPr="00B63C3A">
        <w:rPr>
          <w:rFonts w:ascii="Calibri" w:eastAsia="Times New Roman" w:hAnsi="Calibri" w:cs="Calibri"/>
          <w:b/>
          <w:color w:val="000000" w:themeColor="text1"/>
          <w:sz w:val="24"/>
          <w:szCs w:val="24"/>
        </w:rPr>
        <w:tab/>
      </w:r>
      <w:r w:rsidR="00F9550B" w:rsidRPr="00F9550B">
        <w:rPr>
          <w:rFonts w:ascii="Calibri" w:hAnsi="Calibri" w:cs="Calibri"/>
          <w:b/>
          <w:color w:val="000000" w:themeColor="text1"/>
          <w:sz w:val="24"/>
          <w:szCs w:val="24"/>
        </w:rPr>
        <w:t xml:space="preserve">the measures being implemented to enhance the competitiveness of India's petroleum exports in the global market, including any plans to diversify export </w:t>
      </w:r>
      <w:proofErr w:type="gramStart"/>
      <w:r w:rsidR="00F9550B" w:rsidRPr="00F9550B">
        <w:rPr>
          <w:rFonts w:ascii="Calibri" w:hAnsi="Calibri" w:cs="Calibri"/>
          <w:b/>
          <w:color w:val="000000" w:themeColor="text1"/>
          <w:sz w:val="24"/>
          <w:szCs w:val="24"/>
        </w:rPr>
        <w:t>destinations</w:t>
      </w:r>
      <w:r w:rsidR="00E611C2" w:rsidRPr="00E611C2">
        <w:rPr>
          <w:rFonts w:ascii="Calibri" w:hAnsi="Calibri" w:cs="Calibri"/>
          <w:b/>
          <w:color w:val="000000" w:themeColor="text1"/>
          <w:sz w:val="24"/>
          <w:szCs w:val="24"/>
        </w:rPr>
        <w:t>;</w:t>
      </w:r>
      <w:proofErr w:type="gramEnd"/>
    </w:p>
    <w:p w14:paraId="684AFAA5" w14:textId="010F553B" w:rsidR="00023506" w:rsidRDefault="00DB6513" w:rsidP="00023506">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2E5FC93B" w14:textId="3009C87A" w:rsidR="005E3044" w:rsidRDefault="00B97615" w:rsidP="005E3044">
      <w:pPr>
        <w:pStyle w:val="NoSpacing"/>
        <w:spacing w:after="120" w:line="264" w:lineRule="auto"/>
        <w:ind w:left="1440" w:hanging="1440"/>
        <w:contextualSpacing/>
        <w:jc w:val="both"/>
        <w:rPr>
          <w:rFonts w:ascii="Calibri" w:hAnsi="Calibri" w:cs="Calibri"/>
          <w:bCs/>
          <w:color w:val="000000" w:themeColor="text1"/>
          <w:sz w:val="24"/>
          <w:szCs w:val="24"/>
        </w:rPr>
      </w:pPr>
      <w:r>
        <w:rPr>
          <w:rFonts w:ascii="Calibri" w:hAnsi="Calibri" w:cs="Calibri"/>
          <w:b/>
          <w:color w:val="000000" w:themeColor="text1"/>
          <w:sz w:val="24"/>
          <w:szCs w:val="24"/>
        </w:rPr>
        <w:tab/>
      </w:r>
      <w:r w:rsidRPr="00B97615">
        <w:rPr>
          <w:rFonts w:ascii="Calibri" w:hAnsi="Calibri" w:cs="Calibri"/>
          <w:bCs/>
          <w:color w:val="000000" w:themeColor="text1"/>
          <w:sz w:val="24"/>
          <w:szCs w:val="24"/>
        </w:rPr>
        <w:t>[</w:t>
      </w:r>
      <w:r w:rsidR="005E3044" w:rsidRPr="005E3044">
        <w:rPr>
          <w:rFonts w:ascii="Calibri" w:hAnsi="Calibri" w:cs="Calibri"/>
          <w:bCs/>
          <w:color w:val="000000" w:themeColor="text1"/>
          <w:sz w:val="24"/>
          <w:szCs w:val="24"/>
        </w:rPr>
        <w:t xml:space="preserve">Post expansion of Numaligarh Refinery from 3 to 9 MMTPA, additional product will be available for export to countries like Myanmar, Bangladesh and other </w:t>
      </w:r>
      <w:proofErr w:type="gramStart"/>
      <w:r w:rsidR="005E3044" w:rsidRPr="005E3044">
        <w:rPr>
          <w:rFonts w:ascii="Calibri" w:hAnsi="Calibri" w:cs="Calibri"/>
          <w:bCs/>
          <w:color w:val="000000" w:themeColor="text1"/>
          <w:sz w:val="24"/>
          <w:szCs w:val="24"/>
        </w:rPr>
        <w:t>South</w:t>
      </w:r>
      <w:r w:rsidR="00077470">
        <w:rPr>
          <w:rFonts w:ascii="Calibri" w:hAnsi="Calibri" w:cs="Calibri"/>
          <w:bCs/>
          <w:color w:val="000000" w:themeColor="text1"/>
          <w:sz w:val="24"/>
          <w:szCs w:val="24"/>
        </w:rPr>
        <w:t xml:space="preserve"> </w:t>
      </w:r>
      <w:r w:rsidR="005E3044" w:rsidRPr="005E3044">
        <w:rPr>
          <w:rFonts w:ascii="Calibri" w:hAnsi="Calibri" w:cs="Calibri"/>
          <w:bCs/>
          <w:color w:val="000000" w:themeColor="text1"/>
          <w:sz w:val="24"/>
          <w:szCs w:val="24"/>
        </w:rPr>
        <w:t>East</w:t>
      </w:r>
      <w:proofErr w:type="gramEnd"/>
      <w:r w:rsidR="005E3044" w:rsidRPr="005E3044">
        <w:rPr>
          <w:rFonts w:ascii="Calibri" w:hAnsi="Calibri" w:cs="Calibri"/>
          <w:bCs/>
          <w:color w:val="000000" w:themeColor="text1"/>
          <w:sz w:val="24"/>
          <w:szCs w:val="24"/>
        </w:rPr>
        <w:t xml:space="preserve"> Asian countries.</w:t>
      </w:r>
      <w:r w:rsidR="001853D2">
        <w:rPr>
          <w:rFonts w:ascii="Calibri" w:hAnsi="Calibri" w:cs="Calibri"/>
          <w:bCs/>
          <w:color w:val="000000" w:themeColor="text1"/>
          <w:sz w:val="24"/>
          <w:szCs w:val="24"/>
        </w:rPr>
        <w:t xml:space="preserve"> T</w:t>
      </w:r>
      <w:r w:rsidR="005E3044" w:rsidRPr="005E3044">
        <w:rPr>
          <w:rFonts w:ascii="Calibri" w:hAnsi="Calibri" w:cs="Calibri"/>
          <w:bCs/>
          <w:color w:val="000000" w:themeColor="text1"/>
          <w:sz w:val="24"/>
          <w:szCs w:val="24"/>
        </w:rPr>
        <w:t>he following initiatives have been undertaken by NRL to boost product export:</w:t>
      </w:r>
    </w:p>
    <w:p w14:paraId="385EF2A4" w14:textId="77777777" w:rsidR="001853D2" w:rsidRPr="005E3044" w:rsidRDefault="001853D2" w:rsidP="005E3044">
      <w:pPr>
        <w:pStyle w:val="NoSpacing"/>
        <w:spacing w:after="120" w:line="264" w:lineRule="auto"/>
        <w:ind w:left="1440" w:hanging="1440"/>
        <w:contextualSpacing/>
        <w:jc w:val="both"/>
        <w:rPr>
          <w:rFonts w:ascii="Calibri" w:hAnsi="Calibri" w:cs="Calibri"/>
          <w:bCs/>
          <w:color w:val="000000" w:themeColor="text1"/>
          <w:sz w:val="24"/>
          <w:szCs w:val="24"/>
        </w:rPr>
      </w:pPr>
    </w:p>
    <w:p w14:paraId="3D5AA0D5" w14:textId="7414E55E" w:rsidR="005E3044" w:rsidRPr="005E3044" w:rsidRDefault="005E3044" w:rsidP="00077470">
      <w:pPr>
        <w:pStyle w:val="NoSpacing"/>
        <w:numPr>
          <w:ilvl w:val="0"/>
          <w:numId w:val="9"/>
        </w:numPr>
        <w:spacing w:after="120" w:line="264" w:lineRule="auto"/>
        <w:ind w:left="1985"/>
        <w:contextualSpacing/>
        <w:jc w:val="both"/>
        <w:rPr>
          <w:rFonts w:ascii="Calibri" w:hAnsi="Calibri" w:cs="Calibri"/>
          <w:bCs/>
          <w:color w:val="000000" w:themeColor="text1"/>
          <w:sz w:val="24"/>
          <w:szCs w:val="24"/>
        </w:rPr>
      </w:pPr>
      <w:r w:rsidRPr="005E3044">
        <w:rPr>
          <w:rFonts w:ascii="Calibri" w:hAnsi="Calibri" w:cs="Calibri"/>
          <w:bCs/>
          <w:color w:val="000000" w:themeColor="text1"/>
          <w:sz w:val="24"/>
          <w:szCs w:val="24"/>
        </w:rPr>
        <w:t xml:space="preserve">Bangladesh: A Sale Purchase Agreement was signed on 22nd </w:t>
      </w:r>
      <w:proofErr w:type="gramStart"/>
      <w:r w:rsidRPr="005E3044">
        <w:rPr>
          <w:rFonts w:ascii="Calibri" w:hAnsi="Calibri" w:cs="Calibri"/>
          <w:bCs/>
          <w:color w:val="000000" w:themeColor="text1"/>
          <w:sz w:val="24"/>
          <w:szCs w:val="24"/>
        </w:rPr>
        <w:t>October,</w:t>
      </w:r>
      <w:proofErr w:type="gramEnd"/>
      <w:r w:rsidRPr="005E3044">
        <w:rPr>
          <w:rFonts w:ascii="Calibri" w:hAnsi="Calibri" w:cs="Calibri"/>
          <w:bCs/>
          <w:color w:val="000000" w:themeColor="text1"/>
          <w:sz w:val="24"/>
          <w:szCs w:val="24"/>
        </w:rPr>
        <w:t xml:space="preserve"> 2017 between NRL and BPC for supply of Gas Oil for a period of 15 years, that may be extended through mutual consent. Pricing, commercial terms and conditions of Gas Oil export to Bangladesh shall be governed by the Sale Purchase Agreement. </w:t>
      </w:r>
    </w:p>
    <w:p w14:paraId="58D8E391" w14:textId="77777777" w:rsidR="005E3044" w:rsidRPr="005E3044" w:rsidRDefault="005E3044" w:rsidP="005E3044">
      <w:pPr>
        <w:pStyle w:val="NoSpacing"/>
        <w:spacing w:after="120" w:line="264" w:lineRule="auto"/>
        <w:ind w:left="1440" w:hanging="1440"/>
        <w:contextualSpacing/>
        <w:jc w:val="both"/>
        <w:rPr>
          <w:rFonts w:ascii="Calibri" w:hAnsi="Calibri" w:cs="Calibri"/>
          <w:bCs/>
          <w:color w:val="000000" w:themeColor="text1"/>
          <w:sz w:val="24"/>
          <w:szCs w:val="24"/>
        </w:rPr>
      </w:pPr>
    </w:p>
    <w:p w14:paraId="31C389E8" w14:textId="6088D0B1" w:rsidR="005E3044" w:rsidRDefault="00F05C22" w:rsidP="008659B6">
      <w:pPr>
        <w:pStyle w:val="NoSpacing"/>
        <w:spacing w:after="120" w:line="264" w:lineRule="auto"/>
        <w:ind w:left="1985"/>
        <w:contextualSpacing/>
        <w:jc w:val="both"/>
        <w:rPr>
          <w:rFonts w:ascii="Calibri" w:hAnsi="Calibri" w:cs="Calibri"/>
          <w:bCs/>
          <w:color w:val="000000" w:themeColor="text1"/>
          <w:sz w:val="24"/>
          <w:szCs w:val="24"/>
        </w:rPr>
      </w:pPr>
      <w:r w:rsidRPr="00F05C22">
        <w:rPr>
          <w:rFonts w:ascii="Calibri" w:hAnsi="Calibri" w:cs="Calibri"/>
          <w:bCs/>
          <w:color w:val="000000" w:themeColor="text1"/>
          <w:sz w:val="24"/>
          <w:szCs w:val="24"/>
        </w:rPr>
        <w:t xml:space="preserve">Currently, Gas Oil (High Speed Diesel) is being supplied from NRL’s Siliguri Terminal to </w:t>
      </w:r>
      <w:proofErr w:type="spellStart"/>
      <w:r w:rsidRPr="00F05C22">
        <w:rPr>
          <w:rFonts w:ascii="Calibri" w:hAnsi="Calibri" w:cs="Calibri"/>
          <w:bCs/>
          <w:color w:val="000000" w:themeColor="text1"/>
          <w:sz w:val="24"/>
          <w:szCs w:val="24"/>
        </w:rPr>
        <w:t>Parbatipur</w:t>
      </w:r>
      <w:proofErr w:type="spellEnd"/>
      <w:r w:rsidRPr="00F05C22">
        <w:rPr>
          <w:rFonts w:ascii="Calibri" w:hAnsi="Calibri" w:cs="Calibri"/>
          <w:bCs/>
          <w:color w:val="000000" w:themeColor="text1"/>
          <w:sz w:val="24"/>
          <w:szCs w:val="24"/>
        </w:rPr>
        <w:t xml:space="preserve"> depot of Bangladesh through the India Bangladesh Friendship Pipeline (IBFPL).</w:t>
      </w:r>
      <w:r w:rsidR="00323F9D">
        <w:rPr>
          <w:rFonts w:ascii="Calibri" w:hAnsi="Calibri" w:cs="Calibri"/>
          <w:bCs/>
          <w:color w:val="000000" w:themeColor="text1"/>
          <w:sz w:val="24"/>
          <w:szCs w:val="24"/>
        </w:rPr>
        <w:t xml:space="preserve"> </w:t>
      </w:r>
      <w:r w:rsidR="005E3044" w:rsidRPr="005E3044">
        <w:rPr>
          <w:rFonts w:ascii="Calibri" w:hAnsi="Calibri" w:cs="Calibri"/>
          <w:bCs/>
          <w:color w:val="000000" w:themeColor="text1"/>
          <w:sz w:val="24"/>
          <w:szCs w:val="24"/>
        </w:rPr>
        <w:t xml:space="preserve">Post commissioning of the pipeline, NRL is now </w:t>
      </w:r>
      <w:proofErr w:type="gramStart"/>
      <w:r w:rsidR="005E3044" w:rsidRPr="005E3044">
        <w:rPr>
          <w:rFonts w:ascii="Calibri" w:hAnsi="Calibri" w:cs="Calibri"/>
          <w:bCs/>
          <w:color w:val="000000" w:themeColor="text1"/>
          <w:sz w:val="24"/>
          <w:szCs w:val="24"/>
        </w:rPr>
        <w:t>in a position</w:t>
      </w:r>
      <w:proofErr w:type="gramEnd"/>
      <w:r w:rsidR="005E3044" w:rsidRPr="005E3044">
        <w:rPr>
          <w:rFonts w:ascii="Calibri" w:hAnsi="Calibri" w:cs="Calibri"/>
          <w:bCs/>
          <w:color w:val="000000" w:themeColor="text1"/>
          <w:sz w:val="24"/>
          <w:szCs w:val="24"/>
        </w:rPr>
        <w:t xml:space="preserve"> to export 1 million metric tonnes of petroleum products annually. </w:t>
      </w:r>
    </w:p>
    <w:p w14:paraId="60463FB3" w14:textId="2CF8D968" w:rsidR="001E1EB0" w:rsidRPr="001E1EB0" w:rsidRDefault="00A378B4" w:rsidP="00645720">
      <w:pPr>
        <w:pStyle w:val="NoSpacing"/>
        <w:spacing w:after="120" w:line="264" w:lineRule="auto"/>
        <w:ind w:left="1985"/>
        <w:contextualSpacing/>
        <w:jc w:val="both"/>
        <w:rPr>
          <w:rFonts w:ascii="Calibri" w:hAnsi="Calibri" w:cs="Calibri"/>
          <w:bCs/>
          <w:color w:val="000000" w:themeColor="text1"/>
          <w:sz w:val="24"/>
          <w:szCs w:val="24"/>
        </w:rPr>
      </w:pPr>
      <w:r w:rsidRPr="00A378B4">
        <w:rPr>
          <w:rFonts w:ascii="Calibri" w:hAnsi="Calibri" w:cs="Calibri"/>
          <w:bCs/>
          <w:color w:val="000000" w:themeColor="text1"/>
          <w:sz w:val="24"/>
          <w:szCs w:val="24"/>
        </w:rPr>
        <w:t xml:space="preserve">NRL has initiated discussion with Bangladesh Petroleum Corporation on a proposal of extending the IBFPL by around 145 km from </w:t>
      </w:r>
      <w:proofErr w:type="spellStart"/>
      <w:r w:rsidRPr="00A378B4">
        <w:rPr>
          <w:rFonts w:ascii="Calibri" w:hAnsi="Calibri" w:cs="Calibri"/>
          <w:bCs/>
          <w:color w:val="000000" w:themeColor="text1"/>
          <w:sz w:val="24"/>
          <w:szCs w:val="24"/>
        </w:rPr>
        <w:t>Parbatipur</w:t>
      </w:r>
      <w:proofErr w:type="spellEnd"/>
      <w:r w:rsidRPr="00A378B4">
        <w:rPr>
          <w:rFonts w:ascii="Calibri" w:hAnsi="Calibri" w:cs="Calibri"/>
          <w:bCs/>
          <w:color w:val="000000" w:themeColor="text1"/>
          <w:sz w:val="24"/>
          <w:szCs w:val="24"/>
        </w:rPr>
        <w:t xml:space="preserve"> to Natore / </w:t>
      </w:r>
      <w:proofErr w:type="spellStart"/>
      <w:r w:rsidRPr="00A378B4">
        <w:rPr>
          <w:rFonts w:ascii="Calibri" w:hAnsi="Calibri" w:cs="Calibri"/>
          <w:bCs/>
          <w:color w:val="000000" w:themeColor="text1"/>
          <w:sz w:val="24"/>
          <w:szCs w:val="24"/>
        </w:rPr>
        <w:t>Rajshahi</w:t>
      </w:r>
      <w:proofErr w:type="spellEnd"/>
      <w:r w:rsidRPr="00A378B4">
        <w:rPr>
          <w:rFonts w:ascii="Calibri" w:hAnsi="Calibri" w:cs="Calibri"/>
          <w:bCs/>
          <w:color w:val="000000" w:themeColor="text1"/>
          <w:sz w:val="24"/>
          <w:szCs w:val="24"/>
        </w:rPr>
        <w:t xml:space="preserve">. This will cater to the demand of Gas Oil in Natore, </w:t>
      </w:r>
      <w:proofErr w:type="spellStart"/>
      <w:r w:rsidRPr="00A378B4">
        <w:rPr>
          <w:rFonts w:ascii="Calibri" w:hAnsi="Calibri" w:cs="Calibri"/>
          <w:bCs/>
          <w:color w:val="000000" w:themeColor="text1"/>
          <w:sz w:val="24"/>
          <w:szCs w:val="24"/>
        </w:rPr>
        <w:t>Rajshahi</w:t>
      </w:r>
      <w:proofErr w:type="spellEnd"/>
      <w:r w:rsidRPr="00A378B4">
        <w:rPr>
          <w:rFonts w:ascii="Calibri" w:hAnsi="Calibri" w:cs="Calibri"/>
          <w:bCs/>
          <w:color w:val="000000" w:themeColor="text1"/>
          <w:sz w:val="24"/>
          <w:szCs w:val="24"/>
        </w:rPr>
        <w:t xml:space="preserve">, Harian, </w:t>
      </w:r>
      <w:proofErr w:type="spellStart"/>
      <w:r w:rsidRPr="00A378B4">
        <w:rPr>
          <w:rFonts w:ascii="Calibri" w:hAnsi="Calibri" w:cs="Calibri"/>
          <w:bCs/>
          <w:color w:val="000000" w:themeColor="text1"/>
          <w:sz w:val="24"/>
          <w:szCs w:val="24"/>
        </w:rPr>
        <w:t>Bagabari</w:t>
      </w:r>
      <w:proofErr w:type="spellEnd"/>
      <w:r w:rsidRPr="00A378B4">
        <w:rPr>
          <w:rFonts w:ascii="Calibri" w:hAnsi="Calibri" w:cs="Calibri"/>
          <w:bCs/>
          <w:color w:val="000000" w:themeColor="text1"/>
          <w:sz w:val="24"/>
          <w:szCs w:val="24"/>
        </w:rPr>
        <w:t xml:space="preserve"> and </w:t>
      </w:r>
      <w:proofErr w:type="spellStart"/>
      <w:r w:rsidRPr="00A378B4">
        <w:rPr>
          <w:rFonts w:ascii="Calibri" w:hAnsi="Calibri" w:cs="Calibri"/>
          <w:bCs/>
          <w:color w:val="000000" w:themeColor="text1"/>
          <w:sz w:val="24"/>
          <w:szCs w:val="24"/>
        </w:rPr>
        <w:t>Bogra</w:t>
      </w:r>
      <w:proofErr w:type="spellEnd"/>
      <w:r w:rsidRPr="00A378B4">
        <w:rPr>
          <w:rFonts w:ascii="Calibri" w:hAnsi="Calibri" w:cs="Calibri"/>
          <w:bCs/>
          <w:color w:val="000000" w:themeColor="text1"/>
          <w:sz w:val="24"/>
          <w:szCs w:val="24"/>
        </w:rPr>
        <w:t xml:space="preserve"> which is presently around 500 TMTPA. Extension of the pipeline will eliminate logistical bottlenecks currently faced in positioning Gas Oil from </w:t>
      </w:r>
      <w:proofErr w:type="spellStart"/>
      <w:r w:rsidRPr="00A378B4">
        <w:rPr>
          <w:rFonts w:ascii="Calibri" w:hAnsi="Calibri" w:cs="Calibri"/>
          <w:bCs/>
          <w:color w:val="000000" w:themeColor="text1"/>
          <w:sz w:val="24"/>
          <w:szCs w:val="24"/>
        </w:rPr>
        <w:t>Chottogram</w:t>
      </w:r>
      <w:proofErr w:type="spellEnd"/>
      <w:r w:rsidRPr="00A378B4">
        <w:rPr>
          <w:rFonts w:ascii="Calibri" w:hAnsi="Calibri" w:cs="Calibri"/>
          <w:bCs/>
          <w:color w:val="000000" w:themeColor="text1"/>
          <w:sz w:val="24"/>
          <w:szCs w:val="24"/>
        </w:rPr>
        <w:t xml:space="preserve"> to the Natore region besides resulting in reduction of freight cost.</w:t>
      </w:r>
      <w:r w:rsidR="00645720">
        <w:rPr>
          <w:rFonts w:ascii="Calibri" w:hAnsi="Calibri" w:cs="Calibri"/>
          <w:bCs/>
          <w:color w:val="000000" w:themeColor="text1"/>
          <w:sz w:val="24"/>
          <w:szCs w:val="24"/>
        </w:rPr>
        <w:t xml:space="preserve"> </w:t>
      </w:r>
      <w:r w:rsidR="001E1EB0" w:rsidRPr="001E1EB0">
        <w:rPr>
          <w:rFonts w:ascii="Calibri" w:hAnsi="Calibri" w:cs="Calibri"/>
          <w:bCs/>
          <w:color w:val="000000" w:themeColor="text1"/>
          <w:sz w:val="24"/>
          <w:szCs w:val="24"/>
        </w:rPr>
        <w:t xml:space="preserve">NRL has appointed a </w:t>
      </w:r>
      <w:r w:rsidR="001E1EB0" w:rsidRPr="001E1EB0">
        <w:rPr>
          <w:rFonts w:ascii="Calibri" w:hAnsi="Calibri" w:cs="Calibri"/>
          <w:bCs/>
          <w:color w:val="000000" w:themeColor="text1"/>
          <w:sz w:val="24"/>
          <w:szCs w:val="24"/>
        </w:rPr>
        <w:lastRenderedPageBreak/>
        <w:t>consultant for conducting feasibility studies for the pipeline extension proposal and is in constant discussion with Bangladesh Petroleum Corporation for taking the proposal forward.</w:t>
      </w:r>
    </w:p>
    <w:p w14:paraId="39396EB9" w14:textId="77777777" w:rsidR="001E1EB0" w:rsidRDefault="001E1EB0" w:rsidP="001E1EB0">
      <w:pPr>
        <w:pStyle w:val="NoSpacing"/>
        <w:spacing w:after="120" w:line="264" w:lineRule="auto"/>
        <w:ind w:left="1985"/>
        <w:contextualSpacing/>
        <w:jc w:val="both"/>
        <w:rPr>
          <w:rFonts w:ascii="Calibri" w:hAnsi="Calibri" w:cs="Calibri"/>
          <w:bCs/>
          <w:color w:val="000000" w:themeColor="text1"/>
          <w:sz w:val="24"/>
          <w:szCs w:val="24"/>
        </w:rPr>
      </w:pPr>
    </w:p>
    <w:p w14:paraId="2861B674" w14:textId="530090C5" w:rsidR="001E1EB0" w:rsidRDefault="001E1EB0" w:rsidP="001E1EB0">
      <w:pPr>
        <w:pStyle w:val="NoSpacing"/>
        <w:spacing w:after="120" w:line="264" w:lineRule="auto"/>
        <w:ind w:left="1985"/>
        <w:contextualSpacing/>
        <w:jc w:val="both"/>
        <w:rPr>
          <w:rFonts w:ascii="Calibri" w:hAnsi="Calibri" w:cs="Calibri"/>
          <w:bCs/>
          <w:color w:val="000000" w:themeColor="text1"/>
          <w:sz w:val="24"/>
          <w:szCs w:val="24"/>
        </w:rPr>
      </w:pPr>
      <w:r w:rsidRPr="001E1EB0">
        <w:rPr>
          <w:rFonts w:ascii="Calibri" w:hAnsi="Calibri" w:cs="Calibri"/>
          <w:bCs/>
          <w:color w:val="000000" w:themeColor="text1"/>
          <w:sz w:val="24"/>
          <w:szCs w:val="24"/>
        </w:rPr>
        <w:t xml:space="preserve">NRL is also pursuing another proposal of supplying Gas Oil to Sylhet region in Bangladesh, initially by road through tank trucks across the </w:t>
      </w:r>
      <w:proofErr w:type="spellStart"/>
      <w:r w:rsidRPr="001E1EB0">
        <w:rPr>
          <w:rFonts w:ascii="Calibri" w:hAnsi="Calibri" w:cs="Calibri"/>
          <w:bCs/>
          <w:color w:val="000000" w:themeColor="text1"/>
          <w:sz w:val="24"/>
          <w:szCs w:val="24"/>
        </w:rPr>
        <w:t>Bholaganj</w:t>
      </w:r>
      <w:proofErr w:type="spellEnd"/>
      <w:r w:rsidRPr="001E1EB0">
        <w:rPr>
          <w:rFonts w:ascii="Calibri" w:hAnsi="Calibri" w:cs="Calibri"/>
          <w:bCs/>
          <w:color w:val="000000" w:themeColor="text1"/>
          <w:sz w:val="24"/>
          <w:szCs w:val="24"/>
        </w:rPr>
        <w:t xml:space="preserve"> and </w:t>
      </w:r>
      <w:proofErr w:type="spellStart"/>
      <w:r w:rsidRPr="001E1EB0">
        <w:rPr>
          <w:rFonts w:ascii="Calibri" w:hAnsi="Calibri" w:cs="Calibri"/>
          <w:bCs/>
          <w:color w:val="000000" w:themeColor="text1"/>
          <w:sz w:val="24"/>
          <w:szCs w:val="24"/>
        </w:rPr>
        <w:t>Sutarkandi</w:t>
      </w:r>
      <w:proofErr w:type="spellEnd"/>
      <w:r w:rsidRPr="001E1EB0">
        <w:rPr>
          <w:rFonts w:ascii="Calibri" w:hAnsi="Calibri" w:cs="Calibri"/>
          <w:bCs/>
          <w:color w:val="000000" w:themeColor="text1"/>
          <w:sz w:val="24"/>
          <w:szCs w:val="24"/>
        </w:rPr>
        <w:t xml:space="preserve"> international borders. </w:t>
      </w:r>
    </w:p>
    <w:p w14:paraId="10AC6BCB" w14:textId="77777777" w:rsidR="00775159" w:rsidRDefault="00775159" w:rsidP="001E1EB0">
      <w:pPr>
        <w:pStyle w:val="NoSpacing"/>
        <w:spacing w:after="120" w:line="264" w:lineRule="auto"/>
        <w:ind w:left="1985"/>
        <w:contextualSpacing/>
        <w:jc w:val="both"/>
        <w:rPr>
          <w:rFonts w:ascii="Calibri" w:hAnsi="Calibri" w:cs="Calibri"/>
          <w:bCs/>
          <w:color w:val="000000" w:themeColor="text1"/>
          <w:sz w:val="24"/>
          <w:szCs w:val="24"/>
        </w:rPr>
      </w:pPr>
    </w:p>
    <w:p w14:paraId="5681E535" w14:textId="77777777" w:rsidR="00775159" w:rsidRPr="00775159" w:rsidRDefault="00775159" w:rsidP="00775159">
      <w:pPr>
        <w:pStyle w:val="NoSpacing"/>
        <w:spacing w:after="120" w:line="264" w:lineRule="auto"/>
        <w:ind w:left="1985"/>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Further, </w:t>
      </w:r>
      <w:r w:rsidRPr="00775159">
        <w:rPr>
          <w:rFonts w:ascii="Calibri" w:hAnsi="Calibri" w:cs="Calibri"/>
          <w:bCs/>
          <w:color w:val="000000" w:themeColor="text1"/>
          <w:sz w:val="24"/>
          <w:szCs w:val="24"/>
        </w:rPr>
        <w:t>there is significant potential to develop the Brahmaputra riverway as a strategic route for exporting petroleum and petrochemical products from the Northeast region of India to Bangladesh. This waterway development would provide an efficient and cost-effective transportation alternative, capitalizing on the geographical proximity between the Northeast region of India and Bangladesh.</w:t>
      </w:r>
    </w:p>
    <w:p w14:paraId="1B649818" w14:textId="50430C20" w:rsidR="00775159" w:rsidRPr="005E3044" w:rsidRDefault="00775159" w:rsidP="001E1EB0">
      <w:pPr>
        <w:pStyle w:val="NoSpacing"/>
        <w:spacing w:after="120" w:line="264" w:lineRule="auto"/>
        <w:ind w:left="1985"/>
        <w:contextualSpacing/>
        <w:jc w:val="both"/>
        <w:rPr>
          <w:rFonts w:ascii="Calibri" w:hAnsi="Calibri" w:cs="Calibri"/>
          <w:bCs/>
          <w:color w:val="000000" w:themeColor="text1"/>
          <w:sz w:val="24"/>
          <w:szCs w:val="24"/>
        </w:rPr>
      </w:pPr>
    </w:p>
    <w:p w14:paraId="358E6751" w14:textId="77777777" w:rsidR="005E3044" w:rsidRPr="005E3044" w:rsidRDefault="005E3044" w:rsidP="005E3044">
      <w:pPr>
        <w:pStyle w:val="NoSpacing"/>
        <w:spacing w:after="120" w:line="264" w:lineRule="auto"/>
        <w:ind w:left="1440" w:hanging="1440"/>
        <w:contextualSpacing/>
        <w:jc w:val="both"/>
        <w:rPr>
          <w:rFonts w:ascii="Calibri" w:hAnsi="Calibri" w:cs="Calibri"/>
          <w:bCs/>
          <w:color w:val="000000" w:themeColor="text1"/>
          <w:sz w:val="24"/>
          <w:szCs w:val="24"/>
        </w:rPr>
      </w:pPr>
    </w:p>
    <w:p w14:paraId="331E66B1" w14:textId="77777777" w:rsidR="005E3044" w:rsidRPr="005E3044" w:rsidRDefault="005E3044" w:rsidP="008659B6">
      <w:pPr>
        <w:pStyle w:val="NoSpacing"/>
        <w:numPr>
          <w:ilvl w:val="0"/>
          <w:numId w:val="9"/>
        </w:numPr>
        <w:spacing w:after="120" w:line="264" w:lineRule="auto"/>
        <w:ind w:left="1985"/>
        <w:contextualSpacing/>
        <w:jc w:val="both"/>
        <w:rPr>
          <w:rFonts w:ascii="Calibri" w:hAnsi="Calibri" w:cs="Calibri"/>
          <w:bCs/>
          <w:color w:val="000000" w:themeColor="text1"/>
          <w:sz w:val="24"/>
          <w:szCs w:val="24"/>
        </w:rPr>
      </w:pPr>
      <w:r w:rsidRPr="005E3044">
        <w:rPr>
          <w:rFonts w:ascii="Calibri" w:hAnsi="Calibri" w:cs="Calibri"/>
          <w:bCs/>
          <w:color w:val="000000" w:themeColor="text1"/>
          <w:sz w:val="24"/>
          <w:szCs w:val="24"/>
        </w:rPr>
        <w:t xml:space="preserve">Myanmar:  NRL is actively pursuing its plans to export diesel to Northern Myanmar utilising the Asian Highway-1 (Numaligarh-Moreh-Tamu Indo-Myanmar Friendship Road). A trial consignment of two tank trucks (40 Kilo Litres) was exported to Myanmar through this route in </w:t>
      </w:r>
      <w:proofErr w:type="gramStart"/>
      <w:r w:rsidRPr="005E3044">
        <w:rPr>
          <w:rFonts w:ascii="Calibri" w:hAnsi="Calibri" w:cs="Calibri"/>
          <w:bCs/>
          <w:color w:val="000000" w:themeColor="text1"/>
          <w:sz w:val="24"/>
          <w:szCs w:val="24"/>
        </w:rPr>
        <w:t>September,</w:t>
      </w:r>
      <w:proofErr w:type="gramEnd"/>
      <w:r w:rsidRPr="005E3044">
        <w:rPr>
          <w:rFonts w:ascii="Calibri" w:hAnsi="Calibri" w:cs="Calibri"/>
          <w:bCs/>
          <w:color w:val="000000" w:themeColor="text1"/>
          <w:sz w:val="24"/>
          <w:szCs w:val="24"/>
        </w:rPr>
        <w:t xml:space="preserve"> 2017. NRL has already signed sales agreement with local partners in Myanmar to enter the wholesale as well as Retail Market in Northern Myanmar. As an initial step towards penetrating the Myanmar market, NRL plans to build a storage depot at Tamu in collaboration with a local partner in that country.</w:t>
      </w:r>
    </w:p>
    <w:p w14:paraId="30566D18" w14:textId="77777777" w:rsidR="005E3044" w:rsidRDefault="005E3044" w:rsidP="005E3044">
      <w:pPr>
        <w:pStyle w:val="NoSpacing"/>
        <w:spacing w:after="120" w:line="264" w:lineRule="auto"/>
        <w:ind w:left="1440" w:hanging="1440"/>
        <w:contextualSpacing/>
        <w:jc w:val="both"/>
        <w:rPr>
          <w:rFonts w:ascii="Calibri" w:hAnsi="Calibri" w:cs="Calibri"/>
          <w:bCs/>
          <w:color w:val="000000" w:themeColor="text1"/>
          <w:sz w:val="24"/>
          <w:szCs w:val="24"/>
        </w:rPr>
      </w:pPr>
      <w:r w:rsidRPr="005E3044">
        <w:rPr>
          <w:rFonts w:ascii="Calibri" w:hAnsi="Calibri" w:cs="Calibri"/>
          <w:bCs/>
          <w:color w:val="000000" w:themeColor="text1"/>
          <w:sz w:val="24"/>
          <w:szCs w:val="24"/>
        </w:rPr>
        <w:tab/>
      </w:r>
    </w:p>
    <w:p w14:paraId="69E887A7" w14:textId="7E463116" w:rsidR="00FF5914" w:rsidRPr="00FF5914" w:rsidRDefault="00FF5914" w:rsidP="0095760A">
      <w:pPr>
        <w:pStyle w:val="NoSpacing"/>
        <w:spacing w:after="120" w:line="264" w:lineRule="auto"/>
        <w:ind w:left="1985"/>
        <w:contextualSpacing/>
        <w:jc w:val="both"/>
        <w:rPr>
          <w:rFonts w:ascii="Calibri" w:hAnsi="Calibri" w:cs="Calibri"/>
          <w:bCs/>
          <w:color w:val="000000" w:themeColor="text1"/>
          <w:sz w:val="24"/>
          <w:szCs w:val="24"/>
        </w:rPr>
      </w:pPr>
      <w:r w:rsidRPr="00FF5914">
        <w:rPr>
          <w:rFonts w:ascii="Calibri" w:hAnsi="Calibri" w:cs="Calibri"/>
          <w:bCs/>
          <w:color w:val="000000" w:themeColor="text1"/>
          <w:sz w:val="24"/>
          <w:szCs w:val="24"/>
        </w:rPr>
        <w:t xml:space="preserve">Present Status: </w:t>
      </w:r>
    </w:p>
    <w:p w14:paraId="242BC2B8" w14:textId="7B843C92" w:rsidR="00FF5914" w:rsidRPr="00FF5914" w:rsidRDefault="00FF5914" w:rsidP="0095760A">
      <w:pPr>
        <w:pStyle w:val="NoSpacing"/>
        <w:numPr>
          <w:ilvl w:val="0"/>
          <w:numId w:val="11"/>
        </w:numPr>
        <w:spacing w:after="120" w:line="264" w:lineRule="auto"/>
        <w:ind w:left="1985"/>
        <w:contextualSpacing/>
        <w:jc w:val="both"/>
        <w:rPr>
          <w:rFonts w:ascii="Calibri" w:hAnsi="Calibri" w:cs="Calibri"/>
          <w:bCs/>
          <w:color w:val="000000" w:themeColor="text1"/>
          <w:sz w:val="24"/>
          <w:szCs w:val="24"/>
        </w:rPr>
      </w:pPr>
      <w:proofErr w:type="gramStart"/>
      <w:r w:rsidRPr="00FF5914">
        <w:rPr>
          <w:rFonts w:ascii="Calibri" w:hAnsi="Calibri" w:cs="Calibri"/>
          <w:bCs/>
          <w:color w:val="000000" w:themeColor="text1"/>
          <w:sz w:val="24"/>
          <w:szCs w:val="24"/>
        </w:rPr>
        <w:t>Subsequent to</w:t>
      </w:r>
      <w:proofErr w:type="gramEnd"/>
      <w:r w:rsidRPr="00FF5914">
        <w:rPr>
          <w:rFonts w:ascii="Calibri" w:hAnsi="Calibri" w:cs="Calibri"/>
          <w:bCs/>
          <w:color w:val="000000" w:themeColor="text1"/>
          <w:sz w:val="24"/>
          <w:szCs w:val="24"/>
        </w:rPr>
        <w:t xml:space="preserve"> the political turmoil during Feb 2021, NRL has not been able to export any HSD or Paraffin Wax to Myanmar. </w:t>
      </w:r>
    </w:p>
    <w:p w14:paraId="3DD9CE2F" w14:textId="77777777" w:rsidR="00FF5914" w:rsidRPr="00FF5914" w:rsidRDefault="00FF5914" w:rsidP="0095760A">
      <w:pPr>
        <w:pStyle w:val="NoSpacing"/>
        <w:numPr>
          <w:ilvl w:val="0"/>
          <w:numId w:val="11"/>
        </w:numPr>
        <w:spacing w:after="120" w:line="264" w:lineRule="auto"/>
        <w:ind w:left="1985"/>
        <w:contextualSpacing/>
        <w:jc w:val="both"/>
        <w:rPr>
          <w:rFonts w:ascii="Calibri" w:hAnsi="Calibri" w:cs="Calibri"/>
          <w:bCs/>
          <w:color w:val="000000" w:themeColor="text1"/>
          <w:sz w:val="24"/>
          <w:szCs w:val="24"/>
        </w:rPr>
      </w:pPr>
      <w:r w:rsidRPr="00FF5914">
        <w:rPr>
          <w:rFonts w:ascii="Calibri" w:hAnsi="Calibri" w:cs="Calibri"/>
          <w:bCs/>
          <w:color w:val="000000" w:themeColor="text1"/>
          <w:sz w:val="24"/>
          <w:szCs w:val="24"/>
        </w:rPr>
        <w:t xml:space="preserve">A meeting over VC was done with DENKO Officials during May 2024 for export of HSD from Numaligarh Refinery to Yangon through Haldia Port. NRL had provided the price quote and other terms of supply to </w:t>
      </w:r>
      <w:proofErr w:type="gramStart"/>
      <w:r w:rsidRPr="00FF5914">
        <w:rPr>
          <w:rFonts w:ascii="Calibri" w:hAnsi="Calibri" w:cs="Calibri"/>
          <w:bCs/>
          <w:color w:val="000000" w:themeColor="text1"/>
          <w:sz w:val="24"/>
          <w:szCs w:val="24"/>
        </w:rPr>
        <w:t>DENKO</w:t>
      </w:r>
      <w:proofErr w:type="gramEnd"/>
      <w:r w:rsidRPr="00FF5914">
        <w:rPr>
          <w:rFonts w:ascii="Calibri" w:hAnsi="Calibri" w:cs="Calibri"/>
          <w:bCs/>
          <w:color w:val="000000" w:themeColor="text1"/>
          <w:sz w:val="24"/>
          <w:szCs w:val="24"/>
        </w:rPr>
        <w:t xml:space="preserve"> but the proposal has not materialised.</w:t>
      </w:r>
    </w:p>
    <w:p w14:paraId="046270FD" w14:textId="77777777" w:rsidR="00FF5914" w:rsidRPr="005E3044" w:rsidRDefault="00FF5914" w:rsidP="00FF5914">
      <w:pPr>
        <w:pStyle w:val="NoSpacing"/>
        <w:spacing w:after="120" w:line="264" w:lineRule="auto"/>
        <w:contextualSpacing/>
        <w:jc w:val="both"/>
        <w:rPr>
          <w:rFonts w:ascii="Calibri" w:hAnsi="Calibri" w:cs="Calibri"/>
          <w:bCs/>
          <w:color w:val="000000" w:themeColor="text1"/>
          <w:sz w:val="24"/>
          <w:szCs w:val="24"/>
        </w:rPr>
      </w:pPr>
    </w:p>
    <w:p w14:paraId="23A99180" w14:textId="36EBCEDE" w:rsidR="00B97615" w:rsidRPr="00B97615" w:rsidRDefault="005E3044" w:rsidP="0032108A">
      <w:pPr>
        <w:pStyle w:val="NoSpacing"/>
        <w:numPr>
          <w:ilvl w:val="0"/>
          <w:numId w:val="9"/>
        </w:numPr>
        <w:spacing w:after="120" w:line="264" w:lineRule="auto"/>
        <w:ind w:left="1985"/>
        <w:contextualSpacing/>
        <w:jc w:val="both"/>
        <w:rPr>
          <w:rFonts w:ascii="Calibri" w:hAnsi="Calibri" w:cs="Calibri"/>
          <w:bCs/>
          <w:color w:val="000000" w:themeColor="text1"/>
          <w:sz w:val="24"/>
          <w:szCs w:val="24"/>
        </w:rPr>
      </w:pPr>
      <w:r w:rsidRPr="005E3044">
        <w:rPr>
          <w:rFonts w:ascii="Calibri" w:hAnsi="Calibri" w:cs="Calibri"/>
          <w:bCs/>
          <w:color w:val="000000" w:themeColor="text1"/>
          <w:sz w:val="24"/>
          <w:szCs w:val="24"/>
        </w:rPr>
        <w:t xml:space="preserve">Bhutan: NRL is exporting to Bhutan through BPCL. </w:t>
      </w:r>
      <w:proofErr w:type="gramStart"/>
      <w:r w:rsidRPr="005E3044">
        <w:rPr>
          <w:rFonts w:ascii="Calibri" w:hAnsi="Calibri" w:cs="Calibri"/>
          <w:bCs/>
          <w:color w:val="000000" w:themeColor="text1"/>
          <w:sz w:val="24"/>
          <w:szCs w:val="24"/>
        </w:rPr>
        <w:t>Future plans</w:t>
      </w:r>
      <w:proofErr w:type="gramEnd"/>
      <w:r w:rsidRPr="005E3044">
        <w:rPr>
          <w:rFonts w:ascii="Calibri" w:hAnsi="Calibri" w:cs="Calibri"/>
          <w:bCs/>
          <w:color w:val="000000" w:themeColor="text1"/>
          <w:sz w:val="24"/>
          <w:szCs w:val="24"/>
        </w:rPr>
        <w:t xml:space="preserve"> to increase exports to Bhutan are pursued.</w:t>
      </w:r>
    </w:p>
    <w:p w14:paraId="5889C17C" w14:textId="37923DA6" w:rsidR="00023506" w:rsidRDefault="008309DB" w:rsidP="00DB6513">
      <w:pPr>
        <w:pStyle w:val="NoSpacing"/>
        <w:spacing w:after="120" w:line="264" w:lineRule="auto"/>
        <w:ind w:left="1440" w:hanging="1440"/>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ab/>
      </w:r>
    </w:p>
    <w:p w14:paraId="38D59E38" w14:textId="35AEAF1A" w:rsidR="00E611C2" w:rsidRDefault="00E611C2" w:rsidP="002C7FAE">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c</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BD20CD" w:rsidRPr="00BD20CD">
        <w:rPr>
          <w:rFonts w:ascii="Calibri" w:hAnsi="Calibri" w:cs="Calibri"/>
          <w:b/>
          <w:color w:val="000000" w:themeColor="text1"/>
          <w:sz w:val="24"/>
          <w:szCs w:val="24"/>
        </w:rPr>
        <w:t>what steps are being taken to address the increase 2.2% increase in imports and the strategies in place to reduce dependency on imported crude oil</w:t>
      </w:r>
      <w:r w:rsidRPr="00E611C2">
        <w:rPr>
          <w:rFonts w:ascii="Calibri" w:hAnsi="Calibri" w:cs="Calibri"/>
          <w:b/>
          <w:color w:val="000000" w:themeColor="text1"/>
          <w:sz w:val="24"/>
          <w:szCs w:val="24"/>
        </w:rPr>
        <w:t>;</w:t>
      </w:r>
      <w:r w:rsidR="002C7FAE">
        <w:rPr>
          <w:rFonts w:ascii="Calibri" w:hAnsi="Calibri" w:cs="Calibri"/>
          <w:b/>
          <w:color w:val="000000" w:themeColor="text1"/>
          <w:sz w:val="24"/>
          <w:szCs w:val="24"/>
        </w:rPr>
        <w:t xml:space="preserve"> and</w:t>
      </w:r>
    </w:p>
    <w:p w14:paraId="7623A0A8" w14:textId="77777777" w:rsidR="00E611C2" w:rsidRDefault="00E611C2" w:rsidP="00E611C2">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1CED7F65" w14:textId="70555424" w:rsidR="008F21EF" w:rsidRPr="0017701E" w:rsidRDefault="00F21E7A" w:rsidP="0017701E">
      <w:pPr>
        <w:pStyle w:val="NoSpacing"/>
        <w:spacing w:after="120" w:line="264" w:lineRule="auto"/>
        <w:ind w:left="1440"/>
        <w:contextualSpacing/>
        <w:jc w:val="both"/>
        <w:rPr>
          <w:rFonts w:ascii="Calibri" w:hAnsi="Calibri" w:cs="Calibri"/>
          <w:iCs/>
          <w:kern w:val="0"/>
          <w:sz w:val="24"/>
          <w:szCs w:val="24"/>
          <w14:ligatures w14:val="none"/>
        </w:rPr>
      </w:pPr>
      <w:r w:rsidRPr="00F21E7A">
        <w:rPr>
          <w:rFonts w:ascii="Calibri" w:hAnsi="Calibri" w:cs="Calibri"/>
          <w:bCs/>
          <w:color w:val="000000" w:themeColor="text1"/>
          <w:sz w:val="24"/>
          <w:szCs w:val="24"/>
        </w:rPr>
        <w:t>[</w:t>
      </w:r>
      <w:r w:rsidR="00067685">
        <w:rPr>
          <w:rFonts w:ascii="Calibri" w:hAnsi="Calibri" w:cs="Calibri"/>
          <w:bCs/>
          <w:iCs/>
          <w:sz w:val="24"/>
          <w:szCs w:val="24"/>
        </w:rPr>
        <w:t>NRL</w:t>
      </w:r>
      <w:r w:rsidR="00067685" w:rsidRPr="0045063E">
        <w:rPr>
          <w:rFonts w:ascii="Calibri" w:hAnsi="Calibri" w:cs="Calibri"/>
          <w:bCs/>
          <w:iCs/>
          <w:sz w:val="24"/>
          <w:szCs w:val="24"/>
        </w:rPr>
        <w:t xml:space="preserve"> is executing a bio-refinery project in the state of Assam through its Joint Venture Company Assam Bio</w:t>
      </w:r>
      <w:r w:rsidR="00067685">
        <w:rPr>
          <w:rFonts w:ascii="Calibri" w:hAnsi="Calibri" w:cs="Calibri"/>
          <w:bCs/>
          <w:iCs/>
          <w:sz w:val="24"/>
          <w:szCs w:val="24"/>
        </w:rPr>
        <w:t xml:space="preserve"> Ethanol</w:t>
      </w:r>
      <w:r w:rsidR="00067685" w:rsidRPr="0045063E">
        <w:rPr>
          <w:rFonts w:ascii="Calibri" w:hAnsi="Calibri" w:cs="Calibri"/>
          <w:bCs/>
          <w:iCs/>
          <w:sz w:val="24"/>
          <w:szCs w:val="24"/>
        </w:rPr>
        <w:t xml:space="preserve"> </w:t>
      </w:r>
      <w:proofErr w:type="spellStart"/>
      <w:r w:rsidR="00067685" w:rsidRPr="0045063E">
        <w:rPr>
          <w:rFonts w:ascii="Calibri" w:hAnsi="Calibri" w:cs="Calibri"/>
          <w:bCs/>
          <w:iCs/>
          <w:sz w:val="24"/>
          <w:szCs w:val="24"/>
        </w:rPr>
        <w:t>Pvt.</w:t>
      </w:r>
      <w:proofErr w:type="spellEnd"/>
      <w:r w:rsidR="00067685" w:rsidRPr="0045063E">
        <w:rPr>
          <w:rFonts w:ascii="Calibri" w:hAnsi="Calibri" w:cs="Calibri"/>
          <w:bCs/>
          <w:iCs/>
          <w:sz w:val="24"/>
          <w:szCs w:val="24"/>
        </w:rPr>
        <w:t xml:space="preserve"> Limited (AB</w:t>
      </w:r>
      <w:r w:rsidR="00067685">
        <w:rPr>
          <w:rFonts w:ascii="Calibri" w:hAnsi="Calibri" w:cs="Calibri"/>
          <w:bCs/>
          <w:iCs/>
          <w:sz w:val="24"/>
          <w:szCs w:val="24"/>
        </w:rPr>
        <w:t>E</w:t>
      </w:r>
      <w:r w:rsidR="00067685" w:rsidRPr="0045063E">
        <w:rPr>
          <w:rFonts w:ascii="Calibri" w:hAnsi="Calibri" w:cs="Calibri"/>
          <w:bCs/>
          <w:iCs/>
          <w:sz w:val="24"/>
          <w:szCs w:val="24"/>
        </w:rPr>
        <w:t xml:space="preserve">PL). NRL owns 50% share in the company and remaining 50% equity is shared between two M/s </w:t>
      </w:r>
      <w:r w:rsidR="00067685" w:rsidRPr="0045063E">
        <w:rPr>
          <w:rFonts w:ascii="Calibri" w:hAnsi="Calibri" w:cs="Calibri"/>
          <w:bCs/>
          <w:iCs/>
          <w:sz w:val="24"/>
          <w:szCs w:val="24"/>
        </w:rPr>
        <w:lastRenderedPageBreak/>
        <w:t xml:space="preserve">Fortum BV3 and M/s </w:t>
      </w:r>
      <w:proofErr w:type="spellStart"/>
      <w:r w:rsidR="00067685" w:rsidRPr="0045063E">
        <w:rPr>
          <w:rFonts w:ascii="Calibri" w:hAnsi="Calibri" w:cs="Calibri"/>
          <w:bCs/>
          <w:iCs/>
          <w:sz w:val="24"/>
          <w:szCs w:val="24"/>
        </w:rPr>
        <w:t>Chempolis</w:t>
      </w:r>
      <w:proofErr w:type="spellEnd"/>
      <w:r w:rsidR="00067685" w:rsidRPr="0045063E">
        <w:rPr>
          <w:rFonts w:ascii="Calibri" w:hAnsi="Calibri" w:cs="Calibri"/>
          <w:bCs/>
          <w:iCs/>
          <w:sz w:val="24"/>
          <w:szCs w:val="24"/>
        </w:rPr>
        <w:t xml:space="preserve">. M/s </w:t>
      </w:r>
      <w:proofErr w:type="spellStart"/>
      <w:r w:rsidR="00067685" w:rsidRPr="0045063E">
        <w:rPr>
          <w:rFonts w:ascii="Calibri" w:hAnsi="Calibri" w:cs="Calibri"/>
          <w:bCs/>
          <w:iCs/>
          <w:sz w:val="24"/>
          <w:szCs w:val="24"/>
        </w:rPr>
        <w:t>Chempolis</w:t>
      </w:r>
      <w:proofErr w:type="spellEnd"/>
      <w:r w:rsidR="00067685" w:rsidRPr="0045063E">
        <w:rPr>
          <w:rFonts w:ascii="Calibri" w:hAnsi="Calibri" w:cs="Calibri"/>
          <w:bCs/>
          <w:iCs/>
          <w:sz w:val="24"/>
          <w:szCs w:val="24"/>
        </w:rPr>
        <w:t xml:space="preserve"> is also the technology provider for the bio-refinery. Bio-refinery will produce 50 TMTPA of Advance </w:t>
      </w:r>
      <w:proofErr w:type="gramStart"/>
      <w:r w:rsidR="00067685" w:rsidRPr="0045063E">
        <w:rPr>
          <w:rFonts w:ascii="Calibri" w:hAnsi="Calibri" w:cs="Calibri"/>
          <w:bCs/>
          <w:iCs/>
          <w:sz w:val="24"/>
          <w:szCs w:val="24"/>
        </w:rPr>
        <w:t>bio-fuel</w:t>
      </w:r>
      <w:proofErr w:type="gramEnd"/>
      <w:r w:rsidR="00067685" w:rsidRPr="0045063E">
        <w:rPr>
          <w:rFonts w:ascii="Calibri" w:hAnsi="Calibri" w:cs="Calibri"/>
          <w:bCs/>
          <w:iCs/>
          <w:sz w:val="24"/>
          <w:szCs w:val="24"/>
        </w:rPr>
        <w:t xml:space="preserve"> (ethanol) from 300 TMTPA of dry bamboo.</w:t>
      </w:r>
      <w:r w:rsidR="00067685" w:rsidRPr="00C75BF4">
        <w:rPr>
          <w:rFonts w:ascii="Calibri" w:hAnsi="Calibri" w:cs="Calibri"/>
          <w:iCs/>
          <w:kern w:val="0"/>
          <w:sz w:val="24"/>
          <w:szCs w:val="24"/>
          <w14:ligatures w14:val="none"/>
        </w:rPr>
        <w:t xml:space="preserve"> </w:t>
      </w:r>
      <w:r w:rsidR="00067685">
        <w:rPr>
          <w:rFonts w:ascii="Calibri" w:hAnsi="Calibri" w:cs="Calibri"/>
          <w:iCs/>
          <w:kern w:val="0"/>
          <w:sz w:val="24"/>
          <w:szCs w:val="24"/>
          <w14:ligatures w14:val="none"/>
        </w:rPr>
        <w:t xml:space="preserve">The </w:t>
      </w:r>
      <w:r w:rsidR="00067685" w:rsidRPr="00197FF3">
        <w:rPr>
          <w:rFonts w:ascii="Calibri" w:hAnsi="Calibri" w:cs="Calibri"/>
          <w:iCs/>
          <w:kern w:val="0"/>
          <w:sz w:val="24"/>
          <w:szCs w:val="24"/>
          <w14:ligatures w14:val="none"/>
        </w:rPr>
        <w:t xml:space="preserve">project has been granted of Rs. 150 </w:t>
      </w:r>
      <w:proofErr w:type="gramStart"/>
      <w:r w:rsidR="00067685" w:rsidRPr="00197FF3">
        <w:rPr>
          <w:rFonts w:ascii="Calibri" w:hAnsi="Calibri" w:cs="Calibri"/>
          <w:iCs/>
          <w:kern w:val="0"/>
          <w:sz w:val="24"/>
          <w:szCs w:val="24"/>
          <w14:ligatures w14:val="none"/>
        </w:rPr>
        <w:t>crore</w:t>
      </w:r>
      <w:proofErr w:type="gramEnd"/>
      <w:r w:rsidR="00067685" w:rsidRPr="00197FF3">
        <w:rPr>
          <w:rFonts w:ascii="Calibri" w:hAnsi="Calibri" w:cs="Calibri"/>
          <w:iCs/>
          <w:kern w:val="0"/>
          <w:sz w:val="24"/>
          <w:szCs w:val="24"/>
          <w14:ligatures w14:val="none"/>
        </w:rPr>
        <w:t xml:space="preserve"> by Central Govt. </w:t>
      </w:r>
      <w:r w:rsidR="00067685" w:rsidRPr="00853FBD">
        <w:rPr>
          <w:rFonts w:ascii="Calibri" w:hAnsi="Calibri" w:cs="Calibri"/>
          <w:iCs/>
          <w:kern w:val="0"/>
          <w:sz w:val="24"/>
          <w:szCs w:val="24"/>
          <w14:ligatures w14:val="none"/>
        </w:rPr>
        <w:t>under Pradhan Mantri JI-VAN yojana</w:t>
      </w:r>
      <w:r w:rsidR="00067685">
        <w:rPr>
          <w:rFonts w:ascii="Calibri" w:hAnsi="Calibri" w:cs="Calibri"/>
          <w:iCs/>
          <w:kern w:val="0"/>
          <w:sz w:val="24"/>
          <w:szCs w:val="24"/>
          <w14:ligatures w14:val="none"/>
        </w:rPr>
        <w:t>.</w:t>
      </w:r>
      <w:r w:rsidR="00067685">
        <w:rPr>
          <w:rFonts w:ascii="Calibri" w:hAnsi="Calibri" w:cs="Calibri"/>
          <w:bCs/>
          <w:iCs/>
          <w:sz w:val="24"/>
          <w:szCs w:val="24"/>
        </w:rPr>
        <w:t xml:space="preserve"> </w:t>
      </w:r>
      <w:r w:rsidR="00067685" w:rsidRPr="004E6FFD">
        <w:rPr>
          <w:rFonts w:ascii="Calibri" w:hAnsi="Calibri" w:cs="Calibri"/>
          <w:bCs/>
          <w:iCs/>
          <w:sz w:val="24"/>
          <w:szCs w:val="24"/>
        </w:rPr>
        <w:t>The first trial run has been conducted successfully to establish conversion of bamboo to alcohol. During the trial run, bamboo was successfully processed through the digestor, bamboo washing section, enzymatic hydrolysis and fermentation sections.</w:t>
      </w:r>
      <w:r w:rsidR="00067685">
        <w:rPr>
          <w:rFonts w:ascii="Calibri" w:hAnsi="Calibri" w:cs="Calibri"/>
          <w:bCs/>
          <w:iCs/>
          <w:sz w:val="24"/>
          <w:szCs w:val="24"/>
        </w:rPr>
        <w:t xml:space="preserve"> </w:t>
      </w:r>
      <w:r w:rsidR="00067685" w:rsidRPr="004E6FFD">
        <w:rPr>
          <w:rFonts w:ascii="Calibri" w:hAnsi="Calibri" w:cs="Calibri"/>
          <w:bCs/>
          <w:iCs/>
          <w:sz w:val="24"/>
          <w:szCs w:val="24"/>
        </w:rPr>
        <w:t>The 2G bio-ethanol project at Numaligarh is set to become fully operational by the first quarter of 2025-26.</w:t>
      </w:r>
      <w:r w:rsidR="00067685">
        <w:rPr>
          <w:rFonts w:ascii="Calibri" w:hAnsi="Calibri" w:cs="Calibri"/>
          <w:bCs/>
          <w:iCs/>
          <w:sz w:val="24"/>
          <w:szCs w:val="24"/>
        </w:rPr>
        <w:t xml:space="preserve"> </w:t>
      </w:r>
      <w:r w:rsidR="00067685" w:rsidRPr="00853FBD">
        <w:rPr>
          <w:rFonts w:ascii="Calibri" w:hAnsi="Calibri" w:cs="Calibri"/>
          <w:iCs/>
          <w:kern w:val="0"/>
          <w:sz w:val="24"/>
          <w:szCs w:val="24"/>
          <w14:ligatures w14:val="none"/>
        </w:rPr>
        <w:t>It is envisaged that Ethanol will substitute petrol to the same extent and thereby reduce import of crude required for production of petrol in the country.</w:t>
      </w:r>
      <w:r w:rsidR="0017701E" w:rsidRPr="0017701E">
        <w:rPr>
          <w:rFonts w:ascii="Calibri" w:hAnsi="Calibri" w:cs="Calibri"/>
          <w:iCs/>
          <w:kern w:val="0"/>
          <w:sz w:val="24"/>
          <w:szCs w:val="24"/>
          <w14:ligatures w14:val="none"/>
        </w:rPr>
        <w:t>]</w:t>
      </w:r>
    </w:p>
    <w:p w14:paraId="5FDEB429" w14:textId="0924426B" w:rsidR="00F21E7A" w:rsidRPr="00F21E7A" w:rsidRDefault="00F21E7A" w:rsidP="00E611C2">
      <w:pPr>
        <w:pStyle w:val="NoSpacing"/>
        <w:spacing w:after="120" w:line="264" w:lineRule="auto"/>
        <w:ind w:left="1440" w:hanging="1440"/>
        <w:contextualSpacing/>
        <w:jc w:val="both"/>
        <w:rPr>
          <w:rFonts w:ascii="Calibri" w:hAnsi="Calibri" w:cs="Calibri"/>
          <w:bCs/>
          <w:color w:val="000000" w:themeColor="text1"/>
          <w:sz w:val="24"/>
          <w:szCs w:val="24"/>
        </w:rPr>
      </w:pPr>
    </w:p>
    <w:p w14:paraId="1C3128D1" w14:textId="77777777" w:rsidR="009F1D75" w:rsidRDefault="009F1D75" w:rsidP="00DB6513">
      <w:pPr>
        <w:pStyle w:val="NoSpacing"/>
        <w:spacing w:after="120" w:line="264" w:lineRule="auto"/>
        <w:ind w:left="1440" w:hanging="1440"/>
        <w:contextualSpacing/>
        <w:jc w:val="both"/>
        <w:rPr>
          <w:rFonts w:ascii="Calibri" w:hAnsi="Calibri" w:cs="Calibri"/>
          <w:bCs/>
          <w:color w:val="000000" w:themeColor="text1"/>
          <w:sz w:val="24"/>
          <w:szCs w:val="24"/>
        </w:rPr>
      </w:pPr>
    </w:p>
    <w:p w14:paraId="35BC35BB" w14:textId="3AA235C6" w:rsidR="002C7FAE" w:rsidRDefault="002C7FAE" w:rsidP="00713C16">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d</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BD20CD" w:rsidRPr="00BD20CD">
        <w:rPr>
          <w:rFonts w:ascii="Calibri" w:eastAsia="Times New Roman" w:hAnsi="Calibri" w:cs="Calibri"/>
          <w:b/>
          <w:color w:val="000000" w:themeColor="text1"/>
          <w:sz w:val="24"/>
          <w:szCs w:val="24"/>
        </w:rPr>
        <w:t>details of plans to collaborate with other governmental bodies to mitigate the widening trade deficit attributed to the petroleum sector</w:t>
      </w:r>
      <w:r w:rsidR="00713C16">
        <w:rPr>
          <w:rFonts w:ascii="Calibri" w:hAnsi="Calibri" w:cs="Calibri"/>
          <w:b/>
          <w:color w:val="000000" w:themeColor="text1"/>
          <w:sz w:val="24"/>
          <w:szCs w:val="24"/>
        </w:rPr>
        <w:t>?</w:t>
      </w:r>
    </w:p>
    <w:p w14:paraId="106618FC" w14:textId="77777777" w:rsidR="002C7FAE" w:rsidRPr="00023506" w:rsidRDefault="002C7FAE" w:rsidP="002C7FAE">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4B5C79DF" w14:textId="77777777" w:rsidR="002C7FAE" w:rsidRPr="00B63C3A" w:rsidRDefault="002C7FAE" w:rsidP="00DB6513">
      <w:pPr>
        <w:pStyle w:val="NoSpacing"/>
        <w:spacing w:after="120" w:line="264" w:lineRule="auto"/>
        <w:ind w:left="1440" w:hanging="1440"/>
        <w:contextualSpacing/>
        <w:jc w:val="both"/>
        <w:rPr>
          <w:rFonts w:ascii="Calibri" w:hAnsi="Calibri" w:cs="Calibri"/>
          <w:bCs/>
          <w:color w:val="000000" w:themeColor="text1"/>
          <w:sz w:val="24"/>
          <w:szCs w:val="24"/>
        </w:rPr>
      </w:pPr>
    </w:p>
    <w:p w14:paraId="50C0DDA5" w14:textId="77777777" w:rsidR="00DB6513" w:rsidRPr="00B63C3A" w:rsidRDefault="00DB6513" w:rsidP="00DB6513">
      <w:pPr>
        <w:tabs>
          <w:tab w:val="left" w:pos="1260"/>
        </w:tabs>
        <w:spacing w:line="240" w:lineRule="auto"/>
        <w:contextualSpacing/>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Note for Supplementary</w:t>
      </w:r>
      <w:r w:rsidRPr="00B63C3A">
        <w:rPr>
          <w:rFonts w:ascii="Calibri" w:hAnsi="Calibri" w:cs="Calibri"/>
          <w:b/>
          <w:color w:val="000000" w:themeColor="text1"/>
          <w:sz w:val="24"/>
          <w:szCs w:val="24"/>
        </w:rPr>
        <w:t>:</w:t>
      </w:r>
      <w:r w:rsidRPr="00B63C3A">
        <w:rPr>
          <w:rFonts w:ascii="Calibri" w:hAnsi="Calibri" w:cs="Calibri"/>
          <w:b/>
          <w:color w:val="000000" w:themeColor="text1"/>
          <w:sz w:val="24"/>
          <w:szCs w:val="24"/>
          <w:u w:val="single"/>
        </w:rPr>
        <w:t xml:space="preserve"> </w:t>
      </w:r>
    </w:p>
    <w:p w14:paraId="1203E819" w14:textId="77777777" w:rsidR="00DB6513" w:rsidRPr="00B63C3A" w:rsidRDefault="00DB6513" w:rsidP="00DB6513">
      <w:pPr>
        <w:pStyle w:val="NoSpacing"/>
        <w:jc w:val="both"/>
        <w:rPr>
          <w:rFonts w:ascii="Calibri" w:hAnsi="Calibri" w:cs="Calibri"/>
          <w:iCs/>
          <w:color w:val="000000" w:themeColor="text1"/>
          <w:sz w:val="24"/>
          <w:szCs w:val="24"/>
        </w:rPr>
      </w:pPr>
      <w:r w:rsidRPr="00B63C3A">
        <w:rPr>
          <w:rFonts w:ascii="Calibri" w:hAnsi="Calibri" w:cs="Calibri"/>
          <w:iCs/>
          <w:color w:val="000000" w:themeColor="text1"/>
          <w:sz w:val="24"/>
          <w:szCs w:val="24"/>
        </w:rPr>
        <w:t xml:space="preserve">Numaligarh Refinery Limited (NRL) is a Public Sector Enterprise with a 3.0 MMTPA petroleum refinery at Numaligarh in </w:t>
      </w:r>
      <w:proofErr w:type="spellStart"/>
      <w:r w:rsidRPr="00B63C3A">
        <w:rPr>
          <w:rFonts w:ascii="Calibri" w:hAnsi="Calibri" w:cs="Calibri"/>
          <w:iCs/>
          <w:color w:val="000000" w:themeColor="text1"/>
          <w:sz w:val="24"/>
          <w:szCs w:val="24"/>
        </w:rPr>
        <w:t>Golaghat</w:t>
      </w:r>
      <w:proofErr w:type="spellEnd"/>
      <w:r w:rsidRPr="00B63C3A">
        <w:rPr>
          <w:rFonts w:ascii="Calibri" w:hAnsi="Calibri" w:cs="Calibri"/>
          <w:iCs/>
          <w:color w:val="000000" w:themeColor="text1"/>
          <w:sz w:val="24"/>
          <w:szCs w:val="24"/>
        </w:rPr>
        <w:t xml:space="preserve"> district of Assam. Present shareholding pattern of NRL is Oil India Limited (OIL) – 69.63%, Govt. of Assam (</w:t>
      </w:r>
      <w:proofErr w:type="spellStart"/>
      <w:r w:rsidRPr="00B63C3A">
        <w:rPr>
          <w:rFonts w:ascii="Calibri" w:hAnsi="Calibri" w:cs="Calibri"/>
          <w:iCs/>
          <w:color w:val="000000" w:themeColor="text1"/>
          <w:sz w:val="24"/>
          <w:szCs w:val="24"/>
        </w:rPr>
        <w:t>GoA</w:t>
      </w:r>
      <w:proofErr w:type="spellEnd"/>
      <w:r w:rsidRPr="00B63C3A">
        <w:rPr>
          <w:rFonts w:ascii="Calibri" w:hAnsi="Calibri" w:cs="Calibri"/>
          <w:iCs/>
          <w:color w:val="000000" w:themeColor="text1"/>
          <w:sz w:val="24"/>
          <w:szCs w:val="24"/>
        </w:rPr>
        <w:t>) – 26% and Engineers India Ltd (EIL) – 4.37%.</w:t>
      </w:r>
    </w:p>
    <w:p w14:paraId="240D4441" w14:textId="77777777" w:rsidR="00EA2EBF" w:rsidRDefault="00EA2EBF" w:rsidP="00EA2EBF">
      <w:pPr>
        <w:spacing w:after="0" w:line="240" w:lineRule="auto"/>
        <w:rPr>
          <w:color w:val="000000" w:themeColor="text1"/>
        </w:rPr>
      </w:pPr>
    </w:p>
    <w:p w14:paraId="644EF232" w14:textId="77777777" w:rsidR="00446EF5" w:rsidRPr="00B63C3A" w:rsidRDefault="00446EF5" w:rsidP="00446EF5">
      <w:pPr>
        <w:spacing w:after="0" w:line="240" w:lineRule="auto"/>
        <w:jc w:val="both"/>
        <w:rPr>
          <w:color w:val="000000" w:themeColor="text1"/>
        </w:rPr>
      </w:pPr>
    </w:p>
    <w:p w14:paraId="0F8E6D62" w14:textId="4564E1CC" w:rsidR="00446EF5" w:rsidRPr="00B63C3A" w:rsidRDefault="00446EF5" w:rsidP="00446EF5">
      <w:pPr>
        <w:spacing w:after="0" w:line="240" w:lineRule="auto"/>
        <w:jc w:val="center"/>
        <w:rPr>
          <w:color w:val="000000" w:themeColor="text1"/>
        </w:rPr>
      </w:pPr>
      <w:r w:rsidRPr="00B63C3A">
        <w:rPr>
          <w:color w:val="000000" w:themeColor="text1"/>
        </w:rPr>
        <w:t>***</w:t>
      </w:r>
    </w:p>
    <w:p w14:paraId="19E63537" w14:textId="77777777" w:rsidR="0094696B" w:rsidRPr="00B63C3A" w:rsidRDefault="0094696B" w:rsidP="0094696B">
      <w:pPr>
        <w:spacing w:after="0" w:line="240" w:lineRule="auto"/>
        <w:jc w:val="both"/>
        <w:rPr>
          <w:b/>
          <w:bCs/>
          <w:color w:val="000000" w:themeColor="text1"/>
        </w:rPr>
      </w:pPr>
    </w:p>
    <w:sectPr w:rsidR="0094696B" w:rsidRPr="00B63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1D7"/>
    <w:multiLevelType w:val="hybridMultilevel"/>
    <w:tmpl w:val="CFEAB9F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F4D39AB"/>
    <w:multiLevelType w:val="hybridMultilevel"/>
    <w:tmpl w:val="1F207AA4"/>
    <w:lvl w:ilvl="0" w:tplc="40090019">
      <w:start w:val="1"/>
      <w:numFmt w:val="lowerLetter"/>
      <w:lvlText w:val="%1."/>
      <w:lvlJc w:val="left"/>
      <w:pPr>
        <w:ind w:left="1789" w:hanging="360"/>
      </w:pPr>
    </w:lvl>
    <w:lvl w:ilvl="1" w:tplc="40090019">
      <w:start w:val="1"/>
      <w:numFmt w:val="lowerLetter"/>
      <w:lvlText w:val="%2."/>
      <w:lvlJc w:val="left"/>
      <w:pPr>
        <w:ind w:left="2509" w:hanging="360"/>
      </w:pPr>
    </w:lvl>
    <w:lvl w:ilvl="2" w:tplc="4009001B">
      <w:start w:val="1"/>
      <w:numFmt w:val="lowerRoman"/>
      <w:lvlText w:val="%3."/>
      <w:lvlJc w:val="right"/>
      <w:pPr>
        <w:ind w:left="3229" w:hanging="180"/>
      </w:pPr>
    </w:lvl>
    <w:lvl w:ilvl="3" w:tplc="4009000F">
      <w:start w:val="1"/>
      <w:numFmt w:val="decimal"/>
      <w:lvlText w:val="%4."/>
      <w:lvlJc w:val="left"/>
      <w:pPr>
        <w:ind w:left="3949" w:hanging="360"/>
      </w:pPr>
    </w:lvl>
    <w:lvl w:ilvl="4" w:tplc="40090019">
      <w:start w:val="1"/>
      <w:numFmt w:val="lowerLetter"/>
      <w:lvlText w:val="%5."/>
      <w:lvlJc w:val="left"/>
      <w:pPr>
        <w:ind w:left="4669" w:hanging="360"/>
      </w:pPr>
    </w:lvl>
    <w:lvl w:ilvl="5" w:tplc="4009001B">
      <w:start w:val="1"/>
      <w:numFmt w:val="lowerRoman"/>
      <w:lvlText w:val="%6."/>
      <w:lvlJc w:val="right"/>
      <w:pPr>
        <w:ind w:left="5389" w:hanging="180"/>
      </w:pPr>
    </w:lvl>
    <w:lvl w:ilvl="6" w:tplc="4009000F">
      <w:start w:val="1"/>
      <w:numFmt w:val="decimal"/>
      <w:lvlText w:val="%7."/>
      <w:lvlJc w:val="left"/>
      <w:pPr>
        <w:ind w:left="6109" w:hanging="360"/>
      </w:pPr>
    </w:lvl>
    <w:lvl w:ilvl="7" w:tplc="40090019">
      <w:start w:val="1"/>
      <w:numFmt w:val="lowerLetter"/>
      <w:lvlText w:val="%8."/>
      <w:lvlJc w:val="left"/>
      <w:pPr>
        <w:ind w:left="6829" w:hanging="360"/>
      </w:pPr>
    </w:lvl>
    <w:lvl w:ilvl="8" w:tplc="4009001B">
      <w:start w:val="1"/>
      <w:numFmt w:val="lowerRoman"/>
      <w:lvlText w:val="%9."/>
      <w:lvlJc w:val="right"/>
      <w:pPr>
        <w:ind w:left="7549" w:hanging="180"/>
      </w:pPr>
    </w:lvl>
  </w:abstractNum>
  <w:abstractNum w:abstractNumId="2" w15:restartNumberingAfterBreak="0">
    <w:nsid w:val="17C5221D"/>
    <w:multiLevelType w:val="hybridMultilevel"/>
    <w:tmpl w:val="ACEC8494"/>
    <w:lvl w:ilvl="0" w:tplc="C290C41C">
      <w:start w:val="1"/>
      <w:numFmt w:val="lowerRoman"/>
      <w:lvlText w:val="%1."/>
      <w:lvlJc w:val="right"/>
      <w:pPr>
        <w:ind w:left="1429" w:hanging="360"/>
      </w:pPr>
      <w:rPr>
        <w:b w:val="0"/>
        <w:bCs w:val="0"/>
      </w:r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3" w15:restartNumberingAfterBreak="0">
    <w:nsid w:val="2BF80DE3"/>
    <w:multiLevelType w:val="hybridMultilevel"/>
    <w:tmpl w:val="1EEA79D2"/>
    <w:lvl w:ilvl="0" w:tplc="745450E0">
      <w:start w:val="1"/>
      <w:numFmt w:val="lowerLetter"/>
      <w:lvlText w:val="%1."/>
      <w:lvlJc w:val="left"/>
      <w:pPr>
        <w:ind w:left="1789" w:hanging="360"/>
      </w:p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4" w15:restartNumberingAfterBreak="0">
    <w:nsid w:val="434749EC"/>
    <w:multiLevelType w:val="hybridMultilevel"/>
    <w:tmpl w:val="315AA778"/>
    <w:lvl w:ilvl="0" w:tplc="99EC698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537A2383"/>
    <w:multiLevelType w:val="hybridMultilevel"/>
    <w:tmpl w:val="FF4C9822"/>
    <w:lvl w:ilvl="0" w:tplc="40090001">
      <w:start w:val="1"/>
      <w:numFmt w:val="bullet"/>
      <w:lvlText w:val=""/>
      <w:lvlJc w:val="left"/>
      <w:pPr>
        <w:ind w:left="2705" w:hanging="360"/>
      </w:pPr>
      <w:rPr>
        <w:rFonts w:ascii="Symbol" w:hAnsi="Symbol" w:hint="default"/>
      </w:rPr>
    </w:lvl>
    <w:lvl w:ilvl="1" w:tplc="40090003" w:tentative="1">
      <w:start w:val="1"/>
      <w:numFmt w:val="bullet"/>
      <w:lvlText w:val="o"/>
      <w:lvlJc w:val="left"/>
      <w:pPr>
        <w:ind w:left="3425" w:hanging="360"/>
      </w:pPr>
      <w:rPr>
        <w:rFonts w:ascii="Courier New" w:hAnsi="Courier New" w:cs="Courier New" w:hint="default"/>
      </w:rPr>
    </w:lvl>
    <w:lvl w:ilvl="2" w:tplc="40090005" w:tentative="1">
      <w:start w:val="1"/>
      <w:numFmt w:val="bullet"/>
      <w:lvlText w:val=""/>
      <w:lvlJc w:val="left"/>
      <w:pPr>
        <w:ind w:left="4145" w:hanging="360"/>
      </w:pPr>
      <w:rPr>
        <w:rFonts w:ascii="Wingdings" w:hAnsi="Wingdings" w:hint="default"/>
      </w:rPr>
    </w:lvl>
    <w:lvl w:ilvl="3" w:tplc="40090001" w:tentative="1">
      <w:start w:val="1"/>
      <w:numFmt w:val="bullet"/>
      <w:lvlText w:val=""/>
      <w:lvlJc w:val="left"/>
      <w:pPr>
        <w:ind w:left="4865" w:hanging="360"/>
      </w:pPr>
      <w:rPr>
        <w:rFonts w:ascii="Symbol" w:hAnsi="Symbol" w:hint="default"/>
      </w:rPr>
    </w:lvl>
    <w:lvl w:ilvl="4" w:tplc="40090003" w:tentative="1">
      <w:start w:val="1"/>
      <w:numFmt w:val="bullet"/>
      <w:lvlText w:val="o"/>
      <w:lvlJc w:val="left"/>
      <w:pPr>
        <w:ind w:left="5585" w:hanging="360"/>
      </w:pPr>
      <w:rPr>
        <w:rFonts w:ascii="Courier New" w:hAnsi="Courier New" w:cs="Courier New" w:hint="default"/>
      </w:rPr>
    </w:lvl>
    <w:lvl w:ilvl="5" w:tplc="40090005" w:tentative="1">
      <w:start w:val="1"/>
      <w:numFmt w:val="bullet"/>
      <w:lvlText w:val=""/>
      <w:lvlJc w:val="left"/>
      <w:pPr>
        <w:ind w:left="6305" w:hanging="360"/>
      </w:pPr>
      <w:rPr>
        <w:rFonts w:ascii="Wingdings" w:hAnsi="Wingdings" w:hint="default"/>
      </w:rPr>
    </w:lvl>
    <w:lvl w:ilvl="6" w:tplc="40090001" w:tentative="1">
      <w:start w:val="1"/>
      <w:numFmt w:val="bullet"/>
      <w:lvlText w:val=""/>
      <w:lvlJc w:val="left"/>
      <w:pPr>
        <w:ind w:left="7025" w:hanging="360"/>
      </w:pPr>
      <w:rPr>
        <w:rFonts w:ascii="Symbol" w:hAnsi="Symbol" w:hint="default"/>
      </w:rPr>
    </w:lvl>
    <w:lvl w:ilvl="7" w:tplc="40090003" w:tentative="1">
      <w:start w:val="1"/>
      <w:numFmt w:val="bullet"/>
      <w:lvlText w:val="o"/>
      <w:lvlJc w:val="left"/>
      <w:pPr>
        <w:ind w:left="7745" w:hanging="360"/>
      </w:pPr>
      <w:rPr>
        <w:rFonts w:ascii="Courier New" w:hAnsi="Courier New" w:cs="Courier New" w:hint="default"/>
      </w:rPr>
    </w:lvl>
    <w:lvl w:ilvl="8" w:tplc="40090005" w:tentative="1">
      <w:start w:val="1"/>
      <w:numFmt w:val="bullet"/>
      <w:lvlText w:val=""/>
      <w:lvlJc w:val="left"/>
      <w:pPr>
        <w:ind w:left="8465" w:hanging="360"/>
      </w:pPr>
      <w:rPr>
        <w:rFonts w:ascii="Wingdings" w:hAnsi="Wingdings" w:hint="default"/>
      </w:rPr>
    </w:lvl>
  </w:abstractNum>
  <w:abstractNum w:abstractNumId="6" w15:restartNumberingAfterBreak="0">
    <w:nsid w:val="62341FDD"/>
    <w:multiLevelType w:val="hybridMultilevel"/>
    <w:tmpl w:val="421212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62C85724"/>
    <w:multiLevelType w:val="hybridMultilevel"/>
    <w:tmpl w:val="F134DBF2"/>
    <w:lvl w:ilvl="0" w:tplc="F244BDD4">
      <w:start w:val="1"/>
      <w:numFmt w:val="lowerLetter"/>
      <w:lvlText w:val="%1."/>
      <w:lvlJc w:val="left"/>
      <w:pPr>
        <w:ind w:left="1789" w:hanging="360"/>
      </w:p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8" w15:restartNumberingAfterBreak="0">
    <w:nsid w:val="64A85539"/>
    <w:multiLevelType w:val="hybridMultilevel"/>
    <w:tmpl w:val="8F229044"/>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747921AF"/>
    <w:multiLevelType w:val="multilevel"/>
    <w:tmpl w:val="40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343361549">
    <w:abstractNumId w:val="4"/>
  </w:num>
  <w:num w:numId="2" w16cid:durableId="1272008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5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426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53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263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7365701">
    <w:abstractNumId w:val="1"/>
  </w:num>
  <w:num w:numId="8" w16cid:durableId="321467418">
    <w:abstractNumId w:val="0"/>
  </w:num>
  <w:num w:numId="9" w16cid:durableId="1601832258">
    <w:abstractNumId w:val="8"/>
  </w:num>
  <w:num w:numId="10" w16cid:durableId="1442266743">
    <w:abstractNumId w:val="6"/>
  </w:num>
  <w:num w:numId="11" w16cid:durableId="1921863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F"/>
    <w:rsid w:val="00001E72"/>
    <w:rsid w:val="00003684"/>
    <w:rsid w:val="00011CC0"/>
    <w:rsid w:val="000120D8"/>
    <w:rsid w:val="00023506"/>
    <w:rsid w:val="000341CE"/>
    <w:rsid w:val="00046EE5"/>
    <w:rsid w:val="0006548F"/>
    <w:rsid w:val="00067685"/>
    <w:rsid w:val="00071C7C"/>
    <w:rsid w:val="00072089"/>
    <w:rsid w:val="00077470"/>
    <w:rsid w:val="0008628B"/>
    <w:rsid w:val="00094223"/>
    <w:rsid w:val="000950A2"/>
    <w:rsid w:val="000C1C7E"/>
    <w:rsid w:val="000C7E91"/>
    <w:rsid w:val="000E2402"/>
    <w:rsid w:val="00114B6C"/>
    <w:rsid w:val="00123A27"/>
    <w:rsid w:val="00144B45"/>
    <w:rsid w:val="00146526"/>
    <w:rsid w:val="00170BF4"/>
    <w:rsid w:val="0017701E"/>
    <w:rsid w:val="001853D2"/>
    <w:rsid w:val="001C09ED"/>
    <w:rsid w:val="001D1E10"/>
    <w:rsid w:val="001D3430"/>
    <w:rsid w:val="001D4C42"/>
    <w:rsid w:val="001E1EB0"/>
    <w:rsid w:val="001F66AA"/>
    <w:rsid w:val="0020762D"/>
    <w:rsid w:val="00237D51"/>
    <w:rsid w:val="0024278B"/>
    <w:rsid w:val="0027264F"/>
    <w:rsid w:val="002729DC"/>
    <w:rsid w:val="00273F8C"/>
    <w:rsid w:val="00277A21"/>
    <w:rsid w:val="002A1EC3"/>
    <w:rsid w:val="002C1A5C"/>
    <w:rsid w:val="002C7FAE"/>
    <w:rsid w:val="002E1928"/>
    <w:rsid w:val="002E714F"/>
    <w:rsid w:val="00305BF6"/>
    <w:rsid w:val="00310A25"/>
    <w:rsid w:val="0032108A"/>
    <w:rsid w:val="00321CF8"/>
    <w:rsid w:val="00323F9D"/>
    <w:rsid w:val="00335744"/>
    <w:rsid w:val="00342BA5"/>
    <w:rsid w:val="00353F6F"/>
    <w:rsid w:val="003808EB"/>
    <w:rsid w:val="0038693B"/>
    <w:rsid w:val="0039288A"/>
    <w:rsid w:val="003B0228"/>
    <w:rsid w:val="003E40F5"/>
    <w:rsid w:val="003E753D"/>
    <w:rsid w:val="00401FBE"/>
    <w:rsid w:val="00434CF8"/>
    <w:rsid w:val="004367F7"/>
    <w:rsid w:val="00446546"/>
    <w:rsid w:val="00446EF5"/>
    <w:rsid w:val="00451989"/>
    <w:rsid w:val="00453485"/>
    <w:rsid w:val="004749E5"/>
    <w:rsid w:val="004B2BE7"/>
    <w:rsid w:val="004D0C73"/>
    <w:rsid w:val="004D6460"/>
    <w:rsid w:val="004E1CB2"/>
    <w:rsid w:val="00517BE8"/>
    <w:rsid w:val="00565682"/>
    <w:rsid w:val="005A724A"/>
    <w:rsid w:val="005A7414"/>
    <w:rsid w:val="005C0C6F"/>
    <w:rsid w:val="005D1369"/>
    <w:rsid w:val="005E3044"/>
    <w:rsid w:val="005F630D"/>
    <w:rsid w:val="00610956"/>
    <w:rsid w:val="00623435"/>
    <w:rsid w:val="0063342C"/>
    <w:rsid w:val="00642707"/>
    <w:rsid w:val="00645720"/>
    <w:rsid w:val="00656A92"/>
    <w:rsid w:val="00694AA5"/>
    <w:rsid w:val="006A1AAA"/>
    <w:rsid w:val="006B22F7"/>
    <w:rsid w:val="006C7125"/>
    <w:rsid w:val="00702693"/>
    <w:rsid w:val="0071254A"/>
    <w:rsid w:val="00713C16"/>
    <w:rsid w:val="00732531"/>
    <w:rsid w:val="00740651"/>
    <w:rsid w:val="007409CE"/>
    <w:rsid w:val="007521EB"/>
    <w:rsid w:val="00775159"/>
    <w:rsid w:val="00787F02"/>
    <w:rsid w:val="007A667C"/>
    <w:rsid w:val="007D49A5"/>
    <w:rsid w:val="0080435D"/>
    <w:rsid w:val="008309DB"/>
    <w:rsid w:val="0083108F"/>
    <w:rsid w:val="008455E8"/>
    <w:rsid w:val="008659B6"/>
    <w:rsid w:val="00870EC3"/>
    <w:rsid w:val="00874764"/>
    <w:rsid w:val="00882F0A"/>
    <w:rsid w:val="008A38E6"/>
    <w:rsid w:val="008A5CF4"/>
    <w:rsid w:val="008E1626"/>
    <w:rsid w:val="008F12AC"/>
    <w:rsid w:val="008F21EF"/>
    <w:rsid w:val="008F5C48"/>
    <w:rsid w:val="008F6BF1"/>
    <w:rsid w:val="00903740"/>
    <w:rsid w:val="00925D43"/>
    <w:rsid w:val="009312DC"/>
    <w:rsid w:val="0094696B"/>
    <w:rsid w:val="00954E96"/>
    <w:rsid w:val="0095760A"/>
    <w:rsid w:val="009675D1"/>
    <w:rsid w:val="00983106"/>
    <w:rsid w:val="00983FD3"/>
    <w:rsid w:val="00997E85"/>
    <w:rsid w:val="009A285E"/>
    <w:rsid w:val="009C029E"/>
    <w:rsid w:val="009F1D75"/>
    <w:rsid w:val="00A07768"/>
    <w:rsid w:val="00A149ED"/>
    <w:rsid w:val="00A14BE1"/>
    <w:rsid w:val="00A239E6"/>
    <w:rsid w:val="00A302FC"/>
    <w:rsid w:val="00A378B4"/>
    <w:rsid w:val="00A40EA9"/>
    <w:rsid w:val="00A72FDF"/>
    <w:rsid w:val="00A74849"/>
    <w:rsid w:val="00A8430D"/>
    <w:rsid w:val="00AA2166"/>
    <w:rsid w:val="00AD7CDB"/>
    <w:rsid w:val="00AF514B"/>
    <w:rsid w:val="00B0180A"/>
    <w:rsid w:val="00B043E7"/>
    <w:rsid w:val="00B23389"/>
    <w:rsid w:val="00B370C3"/>
    <w:rsid w:val="00B40016"/>
    <w:rsid w:val="00B63C3A"/>
    <w:rsid w:val="00B85799"/>
    <w:rsid w:val="00B94A44"/>
    <w:rsid w:val="00B96C17"/>
    <w:rsid w:val="00B97615"/>
    <w:rsid w:val="00BC1C16"/>
    <w:rsid w:val="00BC3D3C"/>
    <w:rsid w:val="00BD20CD"/>
    <w:rsid w:val="00BD56CF"/>
    <w:rsid w:val="00BF1686"/>
    <w:rsid w:val="00C11AB4"/>
    <w:rsid w:val="00C20A56"/>
    <w:rsid w:val="00C21703"/>
    <w:rsid w:val="00C437D1"/>
    <w:rsid w:val="00C5649D"/>
    <w:rsid w:val="00C6628D"/>
    <w:rsid w:val="00C70838"/>
    <w:rsid w:val="00C71837"/>
    <w:rsid w:val="00C75BF4"/>
    <w:rsid w:val="00C91A63"/>
    <w:rsid w:val="00C93414"/>
    <w:rsid w:val="00C9367C"/>
    <w:rsid w:val="00C95526"/>
    <w:rsid w:val="00CA2E6D"/>
    <w:rsid w:val="00CB0AD4"/>
    <w:rsid w:val="00CB3A5B"/>
    <w:rsid w:val="00CC0CE0"/>
    <w:rsid w:val="00CC3EFE"/>
    <w:rsid w:val="00CC725A"/>
    <w:rsid w:val="00CD2AFC"/>
    <w:rsid w:val="00CE1AD8"/>
    <w:rsid w:val="00D01D3B"/>
    <w:rsid w:val="00D132CB"/>
    <w:rsid w:val="00D460DE"/>
    <w:rsid w:val="00D53571"/>
    <w:rsid w:val="00D5479F"/>
    <w:rsid w:val="00D646DD"/>
    <w:rsid w:val="00D67ED7"/>
    <w:rsid w:val="00D85D36"/>
    <w:rsid w:val="00D95801"/>
    <w:rsid w:val="00D96CD4"/>
    <w:rsid w:val="00DA5FFB"/>
    <w:rsid w:val="00DB41F6"/>
    <w:rsid w:val="00DB6513"/>
    <w:rsid w:val="00DB665D"/>
    <w:rsid w:val="00DB6BB3"/>
    <w:rsid w:val="00DC5331"/>
    <w:rsid w:val="00DD0450"/>
    <w:rsid w:val="00DD2D32"/>
    <w:rsid w:val="00E00951"/>
    <w:rsid w:val="00E13E7C"/>
    <w:rsid w:val="00E2176D"/>
    <w:rsid w:val="00E4242F"/>
    <w:rsid w:val="00E43532"/>
    <w:rsid w:val="00E47B88"/>
    <w:rsid w:val="00E611C2"/>
    <w:rsid w:val="00E616B0"/>
    <w:rsid w:val="00E77743"/>
    <w:rsid w:val="00E92482"/>
    <w:rsid w:val="00EA2984"/>
    <w:rsid w:val="00EA2EBF"/>
    <w:rsid w:val="00EC6A77"/>
    <w:rsid w:val="00ED7C17"/>
    <w:rsid w:val="00EE0549"/>
    <w:rsid w:val="00EF284D"/>
    <w:rsid w:val="00F05C22"/>
    <w:rsid w:val="00F1066E"/>
    <w:rsid w:val="00F21E7A"/>
    <w:rsid w:val="00F30B0D"/>
    <w:rsid w:val="00F5091B"/>
    <w:rsid w:val="00F51298"/>
    <w:rsid w:val="00F53A9E"/>
    <w:rsid w:val="00F77B1A"/>
    <w:rsid w:val="00F9550B"/>
    <w:rsid w:val="00FC4745"/>
    <w:rsid w:val="00FF4C12"/>
    <w:rsid w:val="00FF59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E581"/>
  <w15:chartTrackingRefBased/>
  <w15:docId w15:val="{B8CC3248-65A6-4427-9211-72DD95C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F"/>
    <w:rPr>
      <w:rFonts w:eastAsiaTheme="majorEastAsia" w:cstheme="majorBidi"/>
      <w:color w:val="272727" w:themeColor="text1" w:themeTint="D8"/>
    </w:rPr>
  </w:style>
  <w:style w:type="paragraph" w:styleId="Title">
    <w:name w:val="Title"/>
    <w:basedOn w:val="Normal"/>
    <w:next w:val="Normal"/>
    <w:link w:val="TitleChar"/>
    <w:uiPriority w:val="10"/>
    <w:qFormat/>
    <w:rsid w:val="00EA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F"/>
    <w:pPr>
      <w:spacing w:before="160"/>
      <w:jc w:val="center"/>
    </w:pPr>
    <w:rPr>
      <w:i/>
      <w:iCs/>
      <w:color w:val="404040" w:themeColor="text1" w:themeTint="BF"/>
    </w:rPr>
  </w:style>
  <w:style w:type="character" w:customStyle="1" w:styleId="QuoteChar">
    <w:name w:val="Quote Char"/>
    <w:basedOn w:val="DefaultParagraphFont"/>
    <w:link w:val="Quote"/>
    <w:uiPriority w:val="29"/>
    <w:rsid w:val="00EA2EBF"/>
    <w:rPr>
      <w:i/>
      <w:iCs/>
      <w:color w:val="404040" w:themeColor="text1" w:themeTint="BF"/>
    </w:rPr>
  </w:style>
  <w:style w:type="paragraph" w:styleId="ListParagraph">
    <w:name w:val="List Paragraph"/>
    <w:aliases w:val="heading 9,1st Head"/>
    <w:basedOn w:val="Normal"/>
    <w:link w:val="ListParagraphChar"/>
    <w:uiPriority w:val="34"/>
    <w:qFormat/>
    <w:rsid w:val="00EA2EBF"/>
    <w:pPr>
      <w:ind w:left="720"/>
      <w:contextualSpacing/>
    </w:pPr>
  </w:style>
  <w:style w:type="character" w:styleId="IntenseEmphasis">
    <w:name w:val="Intense Emphasis"/>
    <w:basedOn w:val="DefaultParagraphFont"/>
    <w:uiPriority w:val="21"/>
    <w:qFormat/>
    <w:rsid w:val="00EA2EBF"/>
    <w:rPr>
      <w:i/>
      <w:iCs/>
      <w:color w:val="0F4761" w:themeColor="accent1" w:themeShade="BF"/>
    </w:rPr>
  </w:style>
  <w:style w:type="paragraph" w:styleId="IntenseQuote">
    <w:name w:val="Intense Quote"/>
    <w:basedOn w:val="Normal"/>
    <w:next w:val="Normal"/>
    <w:link w:val="IntenseQuoteChar"/>
    <w:uiPriority w:val="30"/>
    <w:qFormat/>
    <w:rsid w:val="00EA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BF"/>
    <w:rPr>
      <w:i/>
      <w:iCs/>
      <w:color w:val="0F4761" w:themeColor="accent1" w:themeShade="BF"/>
    </w:rPr>
  </w:style>
  <w:style w:type="character" w:styleId="IntenseReference">
    <w:name w:val="Intense Reference"/>
    <w:basedOn w:val="DefaultParagraphFont"/>
    <w:uiPriority w:val="32"/>
    <w:qFormat/>
    <w:rsid w:val="00EA2EBF"/>
    <w:rPr>
      <w:b/>
      <w:bCs/>
      <w:smallCaps/>
      <w:color w:val="0F4761" w:themeColor="accent1" w:themeShade="BF"/>
      <w:spacing w:val="5"/>
    </w:rPr>
  </w:style>
  <w:style w:type="paragraph" w:styleId="NoSpacing">
    <w:name w:val="No Spacing"/>
    <w:uiPriority w:val="1"/>
    <w:qFormat/>
    <w:rsid w:val="00DB6513"/>
    <w:pPr>
      <w:spacing w:after="0" w:line="240" w:lineRule="auto"/>
    </w:pPr>
  </w:style>
  <w:style w:type="character" w:customStyle="1" w:styleId="ListParagraphChar">
    <w:name w:val="List Paragraph Char"/>
    <w:aliases w:val="heading 9 Char,1st Head Char"/>
    <w:basedOn w:val="DefaultParagraphFont"/>
    <w:link w:val="ListParagraph"/>
    <w:uiPriority w:val="34"/>
    <w:locked/>
    <w:rsid w:val="00A07768"/>
  </w:style>
  <w:style w:type="table" w:styleId="TableGrid">
    <w:name w:val="Table Grid"/>
    <w:basedOn w:val="TableNormal"/>
    <w:uiPriority w:val="39"/>
    <w:rsid w:val="006A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8736">
      <w:bodyDiv w:val="1"/>
      <w:marLeft w:val="0"/>
      <w:marRight w:val="0"/>
      <w:marTop w:val="0"/>
      <w:marBottom w:val="0"/>
      <w:divBdr>
        <w:top w:val="none" w:sz="0" w:space="0" w:color="auto"/>
        <w:left w:val="none" w:sz="0" w:space="0" w:color="auto"/>
        <w:bottom w:val="none" w:sz="0" w:space="0" w:color="auto"/>
        <w:right w:val="none" w:sz="0" w:space="0" w:color="auto"/>
      </w:divBdr>
    </w:div>
    <w:div w:id="340276813">
      <w:bodyDiv w:val="1"/>
      <w:marLeft w:val="0"/>
      <w:marRight w:val="0"/>
      <w:marTop w:val="0"/>
      <w:marBottom w:val="0"/>
      <w:divBdr>
        <w:top w:val="none" w:sz="0" w:space="0" w:color="auto"/>
        <w:left w:val="none" w:sz="0" w:space="0" w:color="auto"/>
        <w:bottom w:val="none" w:sz="0" w:space="0" w:color="auto"/>
        <w:right w:val="none" w:sz="0" w:space="0" w:color="auto"/>
      </w:divBdr>
    </w:div>
    <w:div w:id="640041794">
      <w:bodyDiv w:val="1"/>
      <w:marLeft w:val="0"/>
      <w:marRight w:val="0"/>
      <w:marTop w:val="0"/>
      <w:marBottom w:val="0"/>
      <w:divBdr>
        <w:top w:val="none" w:sz="0" w:space="0" w:color="auto"/>
        <w:left w:val="none" w:sz="0" w:space="0" w:color="auto"/>
        <w:bottom w:val="none" w:sz="0" w:space="0" w:color="auto"/>
        <w:right w:val="none" w:sz="0" w:space="0" w:color="auto"/>
      </w:divBdr>
    </w:div>
    <w:div w:id="1738238296">
      <w:bodyDiv w:val="1"/>
      <w:marLeft w:val="0"/>
      <w:marRight w:val="0"/>
      <w:marTop w:val="0"/>
      <w:marBottom w:val="0"/>
      <w:divBdr>
        <w:top w:val="none" w:sz="0" w:space="0" w:color="auto"/>
        <w:left w:val="none" w:sz="0" w:space="0" w:color="auto"/>
        <w:bottom w:val="none" w:sz="0" w:space="0" w:color="auto"/>
        <w:right w:val="none" w:sz="0" w:space="0" w:color="auto"/>
      </w:divBdr>
    </w:div>
    <w:div w:id="2060010209">
      <w:bodyDiv w:val="1"/>
      <w:marLeft w:val="0"/>
      <w:marRight w:val="0"/>
      <w:marTop w:val="0"/>
      <w:marBottom w:val="0"/>
      <w:divBdr>
        <w:top w:val="none" w:sz="0" w:space="0" w:color="auto"/>
        <w:left w:val="none" w:sz="0" w:space="0" w:color="auto"/>
        <w:bottom w:val="none" w:sz="0" w:space="0" w:color="auto"/>
        <w:right w:val="none" w:sz="0" w:space="0" w:color="auto"/>
      </w:divBdr>
    </w:div>
    <w:div w:id="21467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 Goswami [जयंत गोस्वामी]</dc:creator>
  <cp:keywords/>
  <dc:description/>
  <cp:lastModifiedBy>Akshay Jyoti Baruah [अक्षय ज्योति बरुवा]</cp:lastModifiedBy>
  <cp:revision>205</cp:revision>
  <dcterms:created xsi:type="dcterms:W3CDTF">2024-12-06T12:04:00Z</dcterms:created>
  <dcterms:modified xsi:type="dcterms:W3CDTF">2025-03-13T05:05:00Z</dcterms:modified>
</cp:coreProperties>
</file>